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B9D57" w14:textId="7A9E725C" w:rsidR="002F201A" w:rsidRPr="008367E5" w:rsidRDefault="00107C7A" w:rsidP="00107C7A">
      <w:pPr>
        <w:jc w:val="center"/>
        <w:rPr>
          <w:b/>
          <w:bCs/>
          <w:sz w:val="28"/>
          <w:szCs w:val="28"/>
          <w:lang w:val="sr-Latn-RS"/>
        </w:rPr>
      </w:pPr>
      <w:r w:rsidRPr="008367E5">
        <w:rPr>
          <w:b/>
          <w:bCs/>
          <w:sz w:val="28"/>
          <w:szCs w:val="28"/>
          <w:lang w:val="sr-Latn-RS"/>
        </w:rPr>
        <w:t>Odgovori na Primedbe na studiju o proceni uticaja na životnu sredinu</w:t>
      </w:r>
      <w:r w:rsidR="00F211C3">
        <w:rPr>
          <w:b/>
          <w:bCs/>
          <w:sz w:val="28"/>
          <w:szCs w:val="28"/>
          <w:lang w:val="sr-Latn-RS"/>
        </w:rPr>
        <w:t xml:space="preserve"> </w:t>
      </w:r>
      <w:r w:rsidRPr="008367E5">
        <w:rPr>
          <w:b/>
          <w:bCs/>
          <w:sz w:val="28"/>
          <w:szCs w:val="28"/>
          <w:lang w:val="sr-Latn-RS"/>
        </w:rPr>
        <w:t>projek</w:t>
      </w:r>
      <w:r w:rsidR="00F211C3">
        <w:rPr>
          <w:b/>
          <w:bCs/>
          <w:sz w:val="28"/>
          <w:szCs w:val="28"/>
          <w:lang w:val="sr-Latn-RS"/>
        </w:rPr>
        <w:t>ta</w:t>
      </w:r>
      <w:r w:rsidRPr="008367E5">
        <w:rPr>
          <w:b/>
          <w:bCs/>
          <w:sz w:val="28"/>
          <w:szCs w:val="28"/>
          <w:lang w:val="sr-Latn-RS"/>
        </w:rPr>
        <w:t xml:space="preserve"> </w:t>
      </w:r>
      <w:r w:rsidR="00F211C3">
        <w:rPr>
          <w:b/>
          <w:bCs/>
          <w:sz w:val="28"/>
          <w:szCs w:val="28"/>
          <w:lang w:val="sr-Latn-RS"/>
        </w:rPr>
        <w:t>Izgradnja postrojenja za odsumporavanje dimnih gasova blokova B1 i B2, na lokaciji TE „Nikola Tesla B“, KO Ušće</w:t>
      </w:r>
    </w:p>
    <w:p w14:paraId="1D6BF5D3" w14:textId="560207F6" w:rsidR="00107C7A" w:rsidRPr="008367E5" w:rsidRDefault="00107C7A" w:rsidP="00107C7A">
      <w:pPr>
        <w:jc w:val="both"/>
        <w:rPr>
          <w:szCs w:val="24"/>
          <w:lang w:val="sr-Latn-RS"/>
        </w:rPr>
      </w:pPr>
    </w:p>
    <w:p w14:paraId="26F85996" w14:textId="77777777" w:rsidR="00107C7A" w:rsidRPr="008367E5" w:rsidRDefault="00107C7A" w:rsidP="00107C7A">
      <w:pPr>
        <w:jc w:val="both"/>
        <w:rPr>
          <w:szCs w:val="24"/>
          <w:lang w:val="sr-Latn-RS"/>
        </w:rPr>
      </w:pPr>
    </w:p>
    <w:p w14:paraId="2CF82E4C" w14:textId="2D4ED174" w:rsidR="00107C7A" w:rsidRPr="008367E5" w:rsidRDefault="00107C7A" w:rsidP="00107C7A">
      <w:pPr>
        <w:jc w:val="both"/>
        <w:rPr>
          <w:szCs w:val="24"/>
          <w:lang w:val="sr-Latn-RS"/>
        </w:rPr>
      </w:pPr>
      <w:r w:rsidRPr="008367E5">
        <w:rPr>
          <w:szCs w:val="24"/>
          <w:lang w:val="sr-Latn-RS"/>
        </w:rPr>
        <w:t xml:space="preserve">U skladu sa dopisom Ministarstva zaštite životne sredine (broj </w:t>
      </w:r>
      <w:r w:rsidR="00F211C3">
        <w:rPr>
          <w:szCs w:val="24"/>
          <w:lang w:val="sr-Latn-RS"/>
        </w:rPr>
        <w:t>353-02-02974/2021-03</w:t>
      </w:r>
      <w:r w:rsidRPr="008367E5">
        <w:rPr>
          <w:szCs w:val="24"/>
          <w:lang w:val="sr-Latn-RS"/>
        </w:rPr>
        <w:t xml:space="preserve"> od </w:t>
      </w:r>
      <w:r w:rsidR="00F211C3">
        <w:rPr>
          <w:szCs w:val="24"/>
          <w:lang w:val="sr-Latn-RS"/>
        </w:rPr>
        <w:t>01.03.2022</w:t>
      </w:r>
      <w:r w:rsidRPr="008367E5">
        <w:rPr>
          <w:szCs w:val="24"/>
          <w:lang w:val="sr-Latn-RS"/>
        </w:rPr>
        <w:t xml:space="preserve">. godine) dobijene su primedbe </w:t>
      </w:r>
      <w:r w:rsidR="00901040">
        <w:rPr>
          <w:szCs w:val="24"/>
          <w:lang w:val="sr-Latn-RS"/>
        </w:rPr>
        <w:t>Regulatornog instituta za obnovljivu energiju i životnu sredinu (RERI)</w:t>
      </w:r>
      <w:r w:rsidR="00F211C3">
        <w:rPr>
          <w:szCs w:val="24"/>
          <w:lang w:val="sr-Latn-RS"/>
        </w:rPr>
        <w:t xml:space="preserve"> </w:t>
      </w:r>
      <w:r w:rsidR="00F211C3" w:rsidRPr="00F211C3">
        <w:rPr>
          <w:szCs w:val="24"/>
          <w:lang w:val="sr-Latn-RS"/>
        </w:rPr>
        <w:t>projekta Izgradnja postrojenja za odsumporavanje dimnih gasova blokova B1 i B2, na lokaciji TE „Nikola Tesla B“, KO Ušće</w:t>
      </w:r>
      <w:r w:rsidRPr="008367E5">
        <w:rPr>
          <w:szCs w:val="24"/>
          <w:lang w:val="sr-Latn-RS"/>
        </w:rPr>
        <w:t>.</w:t>
      </w:r>
    </w:p>
    <w:p w14:paraId="3F100A96" w14:textId="65731BA8" w:rsidR="00107C7A" w:rsidRPr="008367E5" w:rsidRDefault="00107C7A" w:rsidP="00107C7A">
      <w:pPr>
        <w:jc w:val="both"/>
        <w:rPr>
          <w:szCs w:val="24"/>
          <w:lang w:val="sr-Latn-RS"/>
        </w:rPr>
      </w:pPr>
      <w:r w:rsidRPr="008367E5">
        <w:rPr>
          <w:szCs w:val="24"/>
          <w:lang w:val="sr-Latn-RS"/>
        </w:rPr>
        <w:t xml:space="preserve">U skladu sa primedbama tehničke komisije obrađivači studije su postupili po njima i u studiju o proceni uticaja na životnu sredinu uneli </w:t>
      </w:r>
      <w:r w:rsidR="007E77B8" w:rsidRPr="008367E5">
        <w:rPr>
          <w:szCs w:val="24"/>
          <w:lang w:val="sr-Latn-RS"/>
        </w:rPr>
        <w:t xml:space="preserve">izmene i </w:t>
      </w:r>
      <w:r w:rsidRPr="008367E5">
        <w:rPr>
          <w:szCs w:val="24"/>
          <w:lang w:val="sr-Latn-RS"/>
        </w:rPr>
        <w:t>dopune.</w:t>
      </w:r>
    </w:p>
    <w:p w14:paraId="2BCF4BFC" w14:textId="114EC020" w:rsidR="00107C7A" w:rsidRDefault="00107C7A" w:rsidP="00107C7A">
      <w:pPr>
        <w:jc w:val="both"/>
        <w:rPr>
          <w:szCs w:val="24"/>
          <w:lang w:val="sr-Latn-RS"/>
        </w:rPr>
      </w:pPr>
    </w:p>
    <w:p w14:paraId="152D4B2B" w14:textId="5533E93A" w:rsidR="00486460" w:rsidRDefault="00486460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I</w:t>
      </w:r>
    </w:p>
    <w:p w14:paraId="43872CEA" w14:textId="05DECA53" w:rsidR="00486460" w:rsidRDefault="00DE6C7A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Obrađivači studije su saglasni da je sistem za transport i deponovanje suspenzije gipsa tehnički nastavak sistema za ODG. Stoga su obrađivači u studiji dali, na osnovu dostupnih informacija od investitora prikaz sistema za transport i deponovanje gipsa posle postupka ODG. Takođe, uticaj transporta i odlaganja gipsa su sagledani kako kroz uticaje na životnu sredinu tako i kroz mere zaštite životne sredine.</w:t>
      </w:r>
    </w:p>
    <w:p w14:paraId="4F0482B5" w14:textId="044E62DE" w:rsidR="00DE6C7A" w:rsidRDefault="00BC0EEE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Način daljeg postupanja sa dobijenim gipsom nije predmet studije o proceni uticaja već studije opravdanosti.</w:t>
      </w:r>
    </w:p>
    <w:p w14:paraId="6B2C5582" w14:textId="77777777" w:rsidR="00BC0EEE" w:rsidRPr="00BC0EEE" w:rsidRDefault="00BC0EEE" w:rsidP="00BC0EEE">
      <w:pPr>
        <w:jc w:val="both"/>
        <w:rPr>
          <w:szCs w:val="24"/>
          <w:lang w:val="sr-Latn-RS"/>
        </w:rPr>
      </w:pPr>
      <w:r w:rsidRPr="00BC0EEE">
        <w:rPr>
          <w:szCs w:val="24"/>
          <w:lang w:val="sr-Latn-RS"/>
        </w:rPr>
        <w:t>Granica projekta na izlazu iz postrojenja za ODG na strani gipsa je privremeno skladište gipsa u okviru TENT B a na strani otpadnih voda mesto priklјučenja na buduće postrojenje za tretman otpadnih voda TENT B. Sistem za transport i deponovanje suspenzije gipsa nije predmet ovog projekta. Međutim, obrađivač studije shvata da je sistem za spoljašnji transport  suspenzije gipsa neizostavni deo postrojenja za ODG i iz tog razloga je dat opis tog dela postrojenja.</w:t>
      </w:r>
    </w:p>
    <w:p w14:paraId="1ED955EA" w14:textId="77777777" w:rsidR="00BC0EEE" w:rsidRPr="00BC0EEE" w:rsidRDefault="00BC0EEE" w:rsidP="00BC0EEE">
      <w:pPr>
        <w:jc w:val="both"/>
        <w:rPr>
          <w:szCs w:val="24"/>
          <w:lang w:val="sr-Latn-RS"/>
        </w:rPr>
      </w:pPr>
      <w:r w:rsidRPr="00BC0EEE">
        <w:rPr>
          <w:szCs w:val="24"/>
          <w:lang w:val="sr-Latn-RS"/>
        </w:rPr>
        <w:t>Opis je dobijen od strane EPS-a koji je potpisao ugovor sa preduzećem Delta inženjering d.o.o. Beograd koji vrši uslugu:</w:t>
      </w:r>
    </w:p>
    <w:p w14:paraId="12C1A4E3" w14:textId="02ABA418" w:rsidR="00BC0EEE" w:rsidRDefault="00BC0EEE" w:rsidP="00BC0EEE">
      <w:pPr>
        <w:pStyle w:val="ListParagraph"/>
        <w:numPr>
          <w:ilvl w:val="0"/>
          <w:numId w:val="8"/>
        </w:numPr>
        <w:ind w:left="426" w:hanging="426"/>
        <w:jc w:val="both"/>
        <w:rPr>
          <w:szCs w:val="24"/>
          <w:lang w:val="sr-Latn-RS"/>
        </w:rPr>
      </w:pPr>
      <w:r>
        <w:rPr>
          <w:szCs w:val="24"/>
          <w:lang w:val="sr-Latn-RS"/>
        </w:rPr>
        <w:t>Izrada izveštaja o zatečenom stanju rekonstruisanih objekata sa elaboratom geodetskih radova za sistem otpepeljivanja TENT B</w:t>
      </w:r>
    </w:p>
    <w:p w14:paraId="29DF58C1" w14:textId="77777777" w:rsidR="00BC0EEE" w:rsidRDefault="00BC0EEE" w:rsidP="00BC0EEE">
      <w:pPr>
        <w:pStyle w:val="ListParagraph"/>
        <w:numPr>
          <w:ilvl w:val="0"/>
          <w:numId w:val="8"/>
        </w:numPr>
        <w:ind w:left="426" w:hanging="426"/>
        <w:jc w:val="both"/>
        <w:rPr>
          <w:szCs w:val="24"/>
          <w:lang w:val="sr-Latn-RS"/>
        </w:rPr>
      </w:pPr>
      <w:r>
        <w:rPr>
          <w:szCs w:val="24"/>
          <w:lang w:val="sr-Latn-RS"/>
        </w:rPr>
        <w:t>Izrada PZI i GP ZOP</w:t>
      </w:r>
    </w:p>
    <w:p w14:paraId="785CB81B" w14:textId="5E4A6275" w:rsidR="00BC0EEE" w:rsidRDefault="00BC0EEE" w:rsidP="00BC0EEE">
      <w:pPr>
        <w:pStyle w:val="ListParagraph"/>
        <w:numPr>
          <w:ilvl w:val="0"/>
          <w:numId w:val="8"/>
        </w:numPr>
        <w:ind w:left="426" w:hanging="426"/>
        <w:jc w:val="both"/>
        <w:rPr>
          <w:szCs w:val="24"/>
          <w:lang w:val="sr-Latn-RS"/>
        </w:rPr>
      </w:pPr>
      <w:r>
        <w:rPr>
          <w:szCs w:val="24"/>
          <w:lang w:val="sr-Latn-RS"/>
        </w:rPr>
        <w:t xml:space="preserve">Drugih aktivnosti </w:t>
      </w:r>
      <w:r w:rsidR="000503AC">
        <w:rPr>
          <w:szCs w:val="24"/>
          <w:lang w:val="sr-Latn-RS"/>
        </w:rPr>
        <w:t xml:space="preserve">vezanih za izradu tehničku dokumentacije </w:t>
      </w:r>
      <w:r>
        <w:rPr>
          <w:szCs w:val="24"/>
          <w:lang w:val="sr-Latn-RS"/>
        </w:rPr>
        <w:t>sistema otpepeljivanja u TENT B.</w:t>
      </w:r>
    </w:p>
    <w:p w14:paraId="180FD567" w14:textId="77777777" w:rsidR="00BC0EEE" w:rsidRDefault="00BC0EEE" w:rsidP="00BC0EEE">
      <w:pPr>
        <w:jc w:val="both"/>
        <w:rPr>
          <w:szCs w:val="24"/>
          <w:lang w:val="sr-Latn-RS"/>
        </w:rPr>
      </w:pPr>
    </w:p>
    <w:p w14:paraId="327A91FB" w14:textId="091BC000" w:rsidR="00BC0EEE" w:rsidRDefault="002C7DF2" w:rsidP="00BC0EEE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 xml:space="preserve">Na osnovu radova koje treba da izvrši </w:t>
      </w:r>
      <w:r w:rsidR="00BC0EEE">
        <w:rPr>
          <w:szCs w:val="24"/>
          <w:lang w:val="sr-Latn-RS"/>
        </w:rPr>
        <w:t xml:space="preserve">Delta inženjering </w:t>
      </w:r>
      <w:r w:rsidR="002F261F">
        <w:rPr>
          <w:szCs w:val="24"/>
          <w:lang w:val="sr-Latn-RS"/>
        </w:rPr>
        <w:t>planira se pokretanje</w:t>
      </w:r>
      <w:r w:rsidR="00BC0EEE">
        <w:rPr>
          <w:szCs w:val="24"/>
          <w:lang w:val="sr-Latn-RS"/>
        </w:rPr>
        <w:t xml:space="preserve"> javne nabavke za rekonstrukciju sistema za transport guste hidromešavine pepela, šljake i gipsa, kao i rekonstrukcija kasete 1 na deponij</w:t>
      </w:r>
      <w:r w:rsidR="000B2AC2">
        <w:rPr>
          <w:szCs w:val="24"/>
          <w:lang w:val="sr-Latn-RS"/>
        </w:rPr>
        <w:t>i</w:t>
      </w:r>
      <w:r w:rsidR="00BC0EEE">
        <w:rPr>
          <w:szCs w:val="24"/>
          <w:lang w:val="sr-Latn-RS"/>
        </w:rPr>
        <w:t xml:space="preserve"> pepela za prihvat ove mešavine. Na kaseti 2 koje je u funkciji i dalje će se odlagati samo pepeo i šljaka. Finansijska sredstva za ove radove su već obezbeđena kroz trogodišnji plan poslovanja. Ugovaranje sa izvođačem se očekuje u trećem kvartalu 2022. a izvođenje radova do kraja 2023. godine.</w:t>
      </w:r>
    </w:p>
    <w:p w14:paraId="4E33A142" w14:textId="7EC3AB4F" w:rsidR="00BC0EEE" w:rsidRDefault="00BC0EEE" w:rsidP="00107C7A">
      <w:pPr>
        <w:jc w:val="both"/>
        <w:rPr>
          <w:szCs w:val="24"/>
          <w:lang w:val="sr-Latn-RS"/>
        </w:rPr>
      </w:pPr>
    </w:p>
    <w:p w14:paraId="338FF142" w14:textId="2A879AEC" w:rsidR="009E0BD8" w:rsidRPr="003F6FCF" w:rsidRDefault="009E0BD8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II.1</w:t>
      </w:r>
      <w:r w:rsidR="003F6FCF">
        <w:rPr>
          <w:szCs w:val="24"/>
          <w:lang w:val="sr-Cyrl-RS"/>
        </w:rPr>
        <w:t xml:space="preserve"> </w:t>
      </w:r>
      <w:r w:rsidR="003F6FCF">
        <w:rPr>
          <w:szCs w:val="24"/>
          <w:lang w:val="sr-Latn-RS"/>
        </w:rPr>
        <w:t>i II.2</w:t>
      </w:r>
    </w:p>
    <w:p w14:paraId="627F4F92" w14:textId="0784D1C6" w:rsidR="00A74DA7" w:rsidRDefault="00A74DA7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 xml:space="preserve">Granica projekta na izlazu iz postrojenja za ODG na strani otpadnih voda mesto </w:t>
      </w:r>
      <w:r w:rsidRPr="003B2C05">
        <w:rPr>
          <w:szCs w:val="24"/>
          <w:lang w:val="sr-Latn-RS"/>
        </w:rPr>
        <w:t>priključenja na buduće postrojenje za tretman otpadnih voda TENT B</w:t>
      </w:r>
      <w:r>
        <w:rPr>
          <w:szCs w:val="24"/>
          <w:lang w:val="sr-Latn-RS"/>
        </w:rPr>
        <w:t>.</w:t>
      </w:r>
    </w:p>
    <w:p w14:paraId="08664DE8" w14:textId="77777777" w:rsidR="00A74DA7" w:rsidRPr="005571BA" w:rsidRDefault="00A74DA7" w:rsidP="00A74DA7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Za prečišćavanje otpadnih voda predviđena je izgradnja centralnog postrojenja na nivou TENT B u kojem će se tretirati u otpadne vode iz postrojenja za ODG. Za navedeno postrojenje je izrađen projekat – Idejni projekat postrojenja za prečišćavanje otpadnih voda u termoelektrani TENT B (Ehting d.o.o, Beograd, broj dokumentacije 246-37/21, decembar 2021), Studija opravdanosti kao i podnet zahtev za odlučivanje o potrebi procene uticaja na životnu sredinu projekta (broj zahteva 12.02.604290/2-21 od 26.11.2021. godine, JP Elektroprivreda Srbije).</w:t>
      </w:r>
    </w:p>
    <w:p w14:paraId="4E9FE2AF" w14:textId="4C4E194F" w:rsidR="00486460" w:rsidRDefault="00A74DA7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Na stranama 105 – 109 dati su bilansi tečne faze procesa ODG a na stranama 102 – 104 dodat je tekst koji opisuje očekivane količine i način tretmana tehnoloških otpadnih voda</w:t>
      </w:r>
      <w:r w:rsidR="00E02444">
        <w:rPr>
          <w:szCs w:val="24"/>
          <w:lang w:val="sr-Latn-RS"/>
        </w:rPr>
        <w:t xml:space="preserve"> i nastalog mulja tokom procesa tretmana voda iz procesa ODG</w:t>
      </w:r>
      <w:r>
        <w:rPr>
          <w:szCs w:val="24"/>
          <w:lang w:val="sr-Latn-RS"/>
        </w:rPr>
        <w:t>.</w:t>
      </w:r>
    </w:p>
    <w:p w14:paraId="63BF42BA" w14:textId="4BC14F43" w:rsidR="003F6FCF" w:rsidRDefault="003F6FCF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lastRenderedPageBreak/>
        <w:t>Postrojenje za ODG ne može funkcionisati ukoliko nema tretmana otpadnih voda koje nastaju tokom procesa.</w:t>
      </w:r>
    </w:p>
    <w:p w14:paraId="520AA976" w14:textId="77777777" w:rsidR="00C477A8" w:rsidRDefault="00C477A8" w:rsidP="00107C7A">
      <w:pPr>
        <w:jc w:val="both"/>
        <w:rPr>
          <w:szCs w:val="24"/>
          <w:lang w:val="sr-Latn-RS"/>
        </w:rPr>
      </w:pPr>
    </w:p>
    <w:p w14:paraId="68ECB860" w14:textId="4EDF2FF1" w:rsidR="00BD2C04" w:rsidRDefault="00BD2C04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II.3</w:t>
      </w:r>
    </w:p>
    <w:p w14:paraId="633F1806" w14:textId="54892455" w:rsidR="00214027" w:rsidRPr="004B208A" w:rsidRDefault="00214027" w:rsidP="00107C7A">
      <w:pPr>
        <w:jc w:val="both"/>
        <w:rPr>
          <w:szCs w:val="24"/>
          <w:lang w:val="sr-Cyrl-RS"/>
        </w:rPr>
      </w:pPr>
      <w:r>
        <w:rPr>
          <w:szCs w:val="24"/>
          <w:lang w:val="sr-Latn-RS"/>
        </w:rPr>
        <w:t>Emisija CO</w:t>
      </w:r>
      <w:r>
        <w:rPr>
          <w:szCs w:val="24"/>
          <w:vertAlign w:val="subscript"/>
          <w:lang w:val="sr-Latn-RS"/>
        </w:rPr>
        <w:t>2</w:t>
      </w:r>
      <w:r>
        <w:rPr>
          <w:szCs w:val="24"/>
          <w:lang w:val="sr-Latn-RS"/>
        </w:rPr>
        <w:t xml:space="preserve"> se povećava u procesu ODG u odnosu kada odsumporavanja dimnih gasova nema.</w:t>
      </w:r>
      <w:r w:rsidR="00C55C83">
        <w:rPr>
          <w:szCs w:val="24"/>
          <w:lang w:val="sr-Latn-RS"/>
        </w:rPr>
        <w:t xml:space="preserve"> U studiji </w:t>
      </w:r>
      <w:r w:rsidR="00CF7B08">
        <w:rPr>
          <w:szCs w:val="24"/>
          <w:lang w:val="sr-Latn-RS"/>
        </w:rPr>
        <w:t>su</w:t>
      </w:r>
      <w:r w:rsidR="00C55C83">
        <w:rPr>
          <w:szCs w:val="24"/>
          <w:lang w:val="sr-Latn-RS"/>
        </w:rPr>
        <w:t xml:space="preserve"> na strani 99, dat</w:t>
      </w:r>
      <w:r w:rsidR="00324DE4">
        <w:rPr>
          <w:szCs w:val="24"/>
          <w:lang w:val="sr-Latn-RS"/>
        </w:rPr>
        <w:t>i</w:t>
      </w:r>
      <w:r w:rsidR="00C55C83">
        <w:rPr>
          <w:szCs w:val="24"/>
          <w:lang w:val="sr-Latn-RS"/>
        </w:rPr>
        <w:t xml:space="preserve"> </w:t>
      </w:r>
      <w:r w:rsidR="00324DE4">
        <w:rPr>
          <w:szCs w:val="24"/>
          <w:lang w:val="sr-Latn-RS"/>
        </w:rPr>
        <w:t xml:space="preserve">podaci o </w:t>
      </w:r>
      <w:r w:rsidR="00C55C83">
        <w:rPr>
          <w:szCs w:val="24"/>
          <w:lang w:val="sr-Latn-RS"/>
        </w:rPr>
        <w:t>povećanj</w:t>
      </w:r>
      <w:r w:rsidR="00324DE4">
        <w:rPr>
          <w:szCs w:val="24"/>
          <w:lang w:val="sr-Latn-RS"/>
        </w:rPr>
        <w:t>u</w:t>
      </w:r>
      <w:r w:rsidR="00C55C83">
        <w:rPr>
          <w:szCs w:val="24"/>
          <w:lang w:val="sr-Latn-RS"/>
        </w:rPr>
        <w:t xml:space="preserve"> emisije CO</w:t>
      </w:r>
      <w:r w:rsidR="00C55C83">
        <w:rPr>
          <w:szCs w:val="24"/>
          <w:vertAlign w:val="subscript"/>
          <w:lang w:val="sr-Latn-RS"/>
        </w:rPr>
        <w:t>2</w:t>
      </w:r>
      <w:r w:rsidR="00C55C83">
        <w:rPr>
          <w:szCs w:val="24"/>
          <w:lang w:val="sr-Latn-RS"/>
        </w:rPr>
        <w:t xml:space="preserve">. </w:t>
      </w:r>
      <w:r w:rsidR="004B208A" w:rsidRPr="004B208A">
        <w:rPr>
          <w:szCs w:val="24"/>
          <w:lang w:val="sr-Latn-RS"/>
        </w:rPr>
        <w:t>Na osnovu podataka materijalnog bilansa povećanje sadržaja CO</w:t>
      </w:r>
      <w:r w:rsidR="004B208A" w:rsidRPr="004B208A">
        <w:rPr>
          <w:szCs w:val="24"/>
          <w:vertAlign w:val="subscript"/>
          <w:lang w:val="sr-Latn-RS"/>
        </w:rPr>
        <w:t>2</w:t>
      </w:r>
      <w:r w:rsidR="004B208A" w:rsidRPr="004B208A">
        <w:rPr>
          <w:szCs w:val="24"/>
          <w:lang w:val="sr-Latn-RS"/>
        </w:rPr>
        <w:t xml:space="preserve"> u prečišćenom dimnom gasu u odnosu na neprečišćeni iznosi oko 1,5% što je na satnom nivou 12168 kg/h odnosno na godišnjem 91260 t/god (podaci za jedan blok).</w:t>
      </w:r>
      <w:r w:rsidR="004B208A">
        <w:rPr>
          <w:szCs w:val="24"/>
          <w:lang w:val="sr-Latn-RS"/>
        </w:rPr>
        <w:t xml:space="preserve"> </w:t>
      </w:r>
      <w:r w:rsidR="00C55C83">
        <w:rPr>
          <w:szCs w:val="24"/>
          <w:lang w:val="sr-Latn-RS"/>
        </w:rPr>
        <w:t>Treba napomenuti</w:t>
      </w:r>
      <w:r w:rsidR="00324DE4">
        <w:rPr>
          <w:szCs w:val="24"/>
          <w:lang w:val="sr-Latn-RS"/>
        </w:rPr>
        <w:t xml:space="preserve"> da je povećanje emisije CO</w:t>
      </w:r>
      <w:r w:rsidR="00324DE4">
        <w:rPr>
          <w:szCs w:val="24"/>
          <w:vertAlign w:val="subscript"/>
          <w:lang w:val="sr-Latn-RS"/>
        </w:rPr>
        <w:t>2</w:t>
      </w:r>
      <w:r w:rsidR="00324DE4">
        <w:rPr>
          <w:szCs w:val="24"/>
          <w:lang w:val="sr-Latn-RS"/>
        </w:rPr>
        <w:t xml:space="preserve"> usled samog tehnološkog postupka ODG (usled odvijanja hemijskih reakcija odsumporavanja)</w:t>
      </w:r>
      <w:r w:rsidR="004B208A">
        <w:rPr>
          <w:szCs w:val="24"/>
          <w:lang w:val="sr-Latn-RS"/>
        </w:rPr>
        <w:t xml:space="preserve"> i ono je neminovno. Efekat negativnog uticaja povećanja emisije CO</w:t>
      </w:r>
      <w:r w:rsidR="004B208A">
        <w:rPr>
          <w:szCs w:val="24"/>
          <w:vertAlign w:val="subscript"/>
          <w:lang w:val="sr-Latn-RS"/>
        </w:rPr>
        <w:t>2</w:t>
      </w:r>
      <w:r w:rsidR="004B208A">
        <w:rPr>
          <w:szCs w:val="24"/>
          <w:lang w:val="sr-Latn-RS"/>
        </w:rPr>
        <w:t xml:space="preserve"> je neuporedivo manji od pozitivnog uticaja smanjenja emisije SO</w:t>
      </w:r>
      <w:r w:rsidR="004B208A">
        <w:rPr>
          <w:szCs w:val="24"/>
          <w:vertAlign w:val="subscript"/>
          <w:lang w:val="sr-Latn-RS"/>
        </w:rPr>
        <w:t>2</w:t>
      </w:r>
      <w:r w:rsidR="004B208A">
        <w:rPr>
          <w:szCs w:val="24"/>
          <w:lang w:val="sr-Latn-RS"/>
        </w:rPr>
        <w:t xml:space="preserve"> i posrednog smanjenja emisije HCl, HF i praškastih materija.</w:t>
      </w:r>
      <w:r w:rsidR="00153FAA">
        <w:rPr>
          <w:szCs w:val="24"/>
          <w:lang w:val="sr-Latn-RS"/>
        </w:rPr>
        <w:t xml:space="preserve"> Povećanje emisije CO2 u odnosu na ukupne emisije CO</w:t>
      </w:r>
      <w:r w:rsidR="00153FAA" w:rsidRPr="001153D2">
        <w:rPr>
          <w:szCs w:val="24"/>
          <w:vertAlign w:val="subscript"/>
          <w:lang w:val="sr-Latn-RS"/>
        </w:rPr>
        <w:t>2</w:t>
      </w:r>
      <w:r w:rsidR="00153FAA">
        <w:rPr>
          <w:szCs w:val="24"/>
          <w:lang w:val="sr-Latn-RS"/>
        </w:rPr>
        <w:t xml:space="preserve"> RS iznosi </w:t>
      </w:r>
      <w:r w:rsidR="00A8458B">
        <w:rPr>
          <w:szCs w:val="24"/>
          <w:lang w:val="sr-Latn-RS"/>
        </w:rPr>
        <w:t>0,3%, dok je smanjenje emisije SO</w:t>
      </w:r>
      <w:r w:rsidR="00A8458B" w:rsidRPr="001153D2">
        <w:rPr>
          <w:szCs w:val="24"/>
          <w:vertAlign w:val="subscript"/>
          <w:lang w:val="sr-Latn-RS"/>
        </w:rPr>
        <w:t>x</w:t>
      </w:r>
      <w:r w:rsidR="00A8458B">
        <w:rPr>
          <w:szCs w:val="24"/>
          <w:lang w:val="sr-Latn-RS"/>
        </w:rPr>
        <w:t xml:space="preserve"> </w:t>
      </w:r>
      <w:r w:rsidR="00440505">
        <w:rPr>
          <w:szCs w:val="24"/>
          <w:lang w:val="sr-Latn-RS"/>
        </w:rPr>
        <w:t>30% ukupnih nacionalnih emisija</w:t>
      </w:r>
    </w:p>
    <w:p w14:paraId="2A0FBB56" w14:textId="3644E7E4" w:rsidR="00486460" w:rsidRDefault="00486460" w:rsidP="00107C7A">
      <w:pPr>
        <w:jc w:val="both"/>
        <w:rPr>
          <w:szCs w:val="24"/>
          <w:lang w:val="sr-Latn-RS"/>
        </w:rPr>
      </w:pPr>
    </w:p>
    <w:p w14:paraId="0C80F72A" w14:textId="21168AC1" w:rsidR="00CD701C" w:rsidRDefault="00CD701C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II.4</w:t>
      </w:r>
    </w:p>
    <w:p w14:paraId="351927BF" w14:textId="4CD4B7F0" w:rsidR="00CD701C" w:rsidRDefault="007F1B81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U studiju je u poglavlje 4.2.3 dodat tekst koji pojašnjava osnovu podataka koji su korišćeni prilikom razmatranja alternativnih rešenja</w:t>
      </w:r>
    </w:p>
    <w:p w14:paraId="17A156E2" w14:textId="2AE5A5A0" w:rsidR="007F1B81" w:rsidRDefault="00E53F60" w:rsidP="00107C7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lang w:val="sr-Latn-RS"/>
        </w:rPr>
        <w:t>Kao osnova za analizu mogućnosti kamenoloma da zadovolje potrebe odsumporavanja dimnih gasova u cilju smanjenja emisije SO</w:t>
      </w:r>
      <w:r>
        <w:rPr>
          <w:rFonts w:ascii="Tahoma" w:hAnsi="Tahoma" w:cs="Tahoma"/>
          <w:sz w:val="20"/>
          <w:vertAlign w:val="subscript"/>
          <w:lang w:val="sr-Latn-RS"/>
        </w:rPr>
        <w:t>2</w:t>
      </w:r>
      <w:r>
        <w:rPr>
          <w:rFonts w:ascii="Tahoma" w:hAnsi="Tahoma" w:cs="Tahoma"/>
          <w:sz w:val="20"/>
          <w:lang w:val="sr-Latn-RS"/>
        </w:rPr>
        <w:t xml:space="preserve"> u TENT B korišćena je dokumentacija za projekat Aktuelizacija dokumentacije za postrojenje za ODG u TE Nikola Tesla B (Analiza varijantnih rešenja i izbor optimalnog rešenja) koju je izradio Energorpojekt entel a.d. (dokument broj S17006 i ugovor broj 11-EN/16-4, jul 2017</w:t>
      </w:r>
      <w:r w:rsidRPr="00B226E0">
        <w:rPr>
          <w:rFonts w:ascii="Tahoma" w:hAnsi="Tahoma" w:cs="Tahoma"/>
          <w:sz w:val="20"/>
          <w:szCs w:val="20"/>
          <w:lang w:val="sr-Latn-RS"/>
        </w:rPr>
        <w:t xml:space="preserve">) i </w:t>
      </w:r>
      <w:r w:rsidRPr="00B226E0">
        <w:rPr>
          <w:rFonts w:ascii="Tahoma" w:hAnsi="Tahoma" w:cs="Tahoma"/>
          <w:sz w:val="20"/>
          <w:szCs w:val="20"/>
        </w:rPr>
        <w:t>Studij</w:t>
      </w:r>
      <w:r w:rsidRPr="00B226E0">
        <w:rPr>
          <w:rFonts w:ascii="Tahoma" w:hAnsi="Tahoma" w:cs="Tahoma"/>
          <w:sz w:val="20"/>
          <w:szCs w:val="20"/>
          <w:lang w:val="sr-Latn-CS"/>
        </w:rPr>
        <w:t>a</w:t>
      </w:r>
      <w:r w:rsidRPr="00B226E0">
        <w:rPr>
          <w:rFonts w:ascii="Tahoma" w:hAnsi="Tahoma" w:cs="Tahoma"/>
          <w:sz w:val="20"/>
          <w:szCs w:val="20"/>
        </w:rPr>
        <w:t xml:space="preserve"> o mogućnostima snabdevanja krečnjakom za potrebe odsumporavanja dimnih gasova TE „Kostolac B“, TE „Nikola Tesla A“ i TE „Nikola Tesla“ B i novog termo kapaciteta na kolubarski lignit približne snage 700 MW - Rudarsko geološki fakultet, Beograd, 2007.</w:t>
      </w:r>
    </w:p>
    <w:p w14:paraId="470FC57D" w14:textId="4318287F" w:rsidR="00E53F60" w:rsidRPr="00E53F60" w:rsidRDefault="00E53F60" w:rsidP="00107C7A">
      <w:pPr>
        <w:jc w:val="both"/>
        <w:rPr>
          <w:rFonts w:cs="Times New Roman"/>
          <w:szCs w:val="24"/>
        </w:rPr>
      </w:pPr>
    </w:p>
    <w:p w14:paraId="10D6730C" w14:textId="6CA0CFE1" w:rsidR="00E53F60" w:rsidRPr="00E53F60" w:rsidRDefault="00E53F60" w:rsidP="00107C7A">
      <w:pPr>
        <w:jc w:val="both"/>
        <w:rPr>
          <w:rFonts w:cs="Times New Roman"/>
          <w:szCs w:val="24"/>
          <w:lang w:val="sr-Latn-RS"/>
        </w:rPr>
      </w:pPr>
      <w:r>
        <w:rPr>
          <w:rFonts w:cs="Times New Roman"/>
          <w:szCs w:val="24"/>
          <w:lang w:val="sr-Latn-RS"/>
        </w:rPr>
        <w:t>Zbog opširnosti</w:t>
      </w:r>
      <w:r w:rsidR="00380210">
        <w:rPr>
          <w:rFonts w:cs="Times New Roman"/>
          <w:szCs w:val="24"/>
          <w:lang w:val="sr-Latn-RS"/>
        </w:rPr>
        <w:t xml:space="preserve"> navedenih dokumenata, nije bilo moguće detaljno ih preneti u studiju već su u studiju preneti zaključci i date analize alternativnih rešenja</w:t>
      </w:r>
      <w:r w:rsidR="00DA1E91">
        <w:rPr>
          <w:rFonts w:cs="Times New Roman"/>
          <w:szCs w:val="24"/>
          <w:lang w:val="sr-Latn-RS"/>
        </w:rPr>
        <w:t xml:space="preserve"> (kako kamenoloma tako i načina transporta krečnjaka do TENT B)</w:t>
      </w:r>
      <w:r w:rsidR="00380210">
        <w:rPr>
          <w:rFonts w:cs="Times New Roman"/>
          <w:szCs w:val="24"/>
          <w:lang w:val="sr-Latn-RS"/>
        </w:rPr>
        <w:t>.</w:t>
      </w:r>
    </w:p>
    <w:p w14:paraId="21E496F1" w14:textId="52D6688B" w:rsidR="00D01588" w:rsidRDefault="00D01588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Na osnovu podatak</w:t>
      </w:r>
      <w:r w:rsidR="00F6505E">
        <w:rPr>
          <w:szCs w:val="24"/>
          <w:lang w:val="sr-Latn-RS"/>
        </w:rPr>
        <w:t>a</w:t>
      </w:r>
      <w:r>
        <w:rPr>
          <w:szCs w:val="24"/>
          <w:lang w:val="sr-Latn-RS"/>
        </w:rPr>
        <w:t xml:space="preserve"> bilansnih rezervi</w:t>
      </w:r>
      <w:r w:rsidR="00F6505E">
        <w:rPr>
          <w:szCs w:val="24"/>
          <w:lang w:val="sr-Latn-RS"/>
        </w:rPr>
        <w:t>, eksploatacionog kapaciteta</w:t>
      </w:r>
      <w:r>
        <w:rPr>
          <w:szCs w:val="24"/>
          <w:lang w:val="sr-Latn-RS"/>
        </w:rPr>
        <w:t xml:space="preserve"> i kvaliteta krečnjaka koji su dobijeni od resornog ministarstva i rukovodstva kamenoloma koji su dati u sledećoj tabeli može se zaključiti</w:t>
      </w:r>
      <w:r w:rsidR="00F6505E">
        <w:rPr>
          <w:szCs w:val="24"/>
          <w:lang w:val="sr-Latn-RS"/>
        </w:rPr>
        <w:t xml:space="preserve"> da što se tiče zahtevanog kvaliteta krečnjaka svaki kamenolom zadovoljava</w:t>
      </w:r>
      <w:r w:rsidR="00E53F60">
        <w:rPr>
          <w:szCs w:val="24"/>
          <w:lang w:val="sr-Latn-RS"/>
        </w:rPr>
        <w:t xml:space="preserve"> po kvalitetu zahteve za krečnjakom postrojenja za ODG.</w:t>
      </w:r>
    </w:p>
    <w:p w14:paraId="06758074" w14:textId="1959E229" w:rsidR="00E53F60" w:rsidRDefault="00E53F60" w:rsidP="00107C7A">
      <w:pPr>
        <w:jc w:val="both"/>
        <w:rPr>
          <w:szCs w:val="24"/>
          <w:lang w:val="sr-Latn-RS"/>
        </w:rPr>
      </w:pPr>
    </w:p>
    <w:p w14:paraId="28460AB9" w14:textId="1FD39222" w:rsidR="00F14CD4" w:rsidRPr="00F14CD4" w:rsidRDefault="00F14CD4" w:rsidP="00F14CD4">
      <w:pPr>
        <w:jc w:val="center"/>
        <w:rPr>
          <w:b/>
          <w:bCs/>
          <w:szCs w:val="24"/>
          <w:lang w:val="sr-Latn-RS"/>
        </w:rPr>
      </w:pPr>
      <w:r w:rsidRPr="00F14CD4">
        <w:rPr>
          <w:b/>
          <w:bCs/>
          <w:szCs w:val="24"/>
          <w:lang w:val="sr-Latn-RS"/>
        </w:rPr>
        <w:t>Pregled bilansnih rezervi i kvaliteta krečnjaka</w:t>
      </w:r>
    </w:p>
    <w:tbl>
      <w:tblPr>
        <w:tblW w:w="9121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6"/>
        <w:gridCol w:w="992"/>
        <w:gridCol w:w="1559"/>
        <w:gridCol w:w="1418"/>
        <w:gridCol w:w="1417"/>
        <w:gridCol w:w="2269"/>
      </w:tblGrid>
      <w:tr w:rsidR="00F14CD4" w:rsidRPr="004920F4" w14:paraId="03E21077" w14:textId="77777777" w:rsidTr="00720EE0">
        <w:trPr>
          <w:trHeight w:hRule="exact" w:val="1181"/>
        </w:trPr>
        <w:tc>
          <w:tcPr>
            <w:tcW w:w="1466" w:type="dxa"/>
            <w:vAlign w:val="center"/>
          </w:tcPr>
          <w:p w14:paraId="29562408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b/>
                <w:bCs/>
                <w:sz w:val="20"/>
                <w:szCs w:val="20"/>
                <w:lang w:val="sr-Latn-RS"/>
              </w:rPr>
              <w:t>Kamenolom</w:t>
            </w:r>
          </w:p>
        </w:tc>
        <w:tc>
          <w:tcPr>
            <w:tcW w:w="992" w:type="dxa"/>
            <w:vAlign w:val="center"/>
          </w:tcPr>
          <w:p w14:paraId="68B11E92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b/>
                <w:bCs/>
                <w:sz w:val="20"/>
                <w:szCs w:val="20"/>
                <w:lang w:val="sr-Latn-RS"/>
              </w:rPr>
              <w:t>Bilansne rezerve, t</w:t>
            </w:r>
          </w:p>
        </w:tc>
        <w:tc>
          <w:tcPr>
            <w:tcW w:w="1559" w:type="dxa"/>
            <w:vAlign w:val="center"/>
          </w:tcPr>
          <w:p w14:paraId="6DEEB4CE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b/>
                <w:bCs/>
                <w:sz w:val="20"/>
                <w:szCs w:val="20"/>
                <w:lang w:val="sr-Latn-RS"/>
              </w:rPr>
              <w:t>Eksploatacioni kapacitet, t/god</w:t>
            </w:r>
          </w:p>
        </w:tc>
        <w:tc>
          <w:tcPr>
            <w:tcW w:w="1418" w:type="dxa"/>
            <w:vAlign w:val="center"/>
          </w:tcPr>
          <w:p w14:paraId="799B4702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sr-Latn-RS"/>
              </w:rPr>
            </w:pPr>
            <w:r w:rsidRPr="004920F4">
              <w:rPr>
                <w:rFonts w:cs="Times New Roman"/>
                <w:b/>
                <w:bCs/>
                <w:sz w:val="20"/>
                <w:szCs w:val="20"/>
                <w:lang w:val="sr-Latn-RS"/>
              </w:rPr>
              <w:t>Raspoloživi kapacitet za ODG,</w:t>
            </w:r>
          </w:p>
          <w:p w14:paraId="55000173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b/>
                <w:bCs/>
                <w:sz w:val="20"/>
                <w:szCs w:val="20"/>
                <w:lang w:val="sr-Latn-RS"/>
              </w:rPr>
              <w:t>t/god</w:t>
            </w:r>
          </w:p>
        </w:tc>
        <w:tc>
          <w:tcPr>
            <w:tcW w:w="1417" w:type="dxa"/>
            <w:vAlign w:val="center"/>
          </w:tcPr>
          <w:p w14:paraId="7C447E01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b/>
                <w:bCs/>
                <w:sz w:val="20"/>
                <w:szCs w:val="20"/>
                <w:lang w:val="sr-Latn-RS"/>
              </w:rPr>
              <w:t>Radni vek kamenoloma prema raspolo</w:t>
            </w:r>
            <w:r>
              <w:rPr>
                <w:rFonts w:cs="Times New Roman"/>
                <w:b/>
                <w:bCs/>
                <w:sz w:val="20"/>
                <w:szCs w:val="20"/>
                <w:lang w:val="sr-Latn-RS"/>
              </w:rPr>
              <w:t>ži</w:t>
            </w:r>
            <w:r w:rsidRPr="004920F4">
              <w:rPr>
                <w:rFonts w:cs="Times New Roman"/>
                <w:b/>
                <w:bCs/>
                <w:sz w:val="20"/>
                <w:szCs w:val="20"/>
                <w:lang w:val="sr-Latn-RS"/>
              </w:rPr>
              <w:t>vim podacima, god.</w:t>
            </w:r>
          </w:p>
        </w:tc>
        <w:tc>
          <w:tcPr>
            <w:tcW w:w="2269" w:type="dxa"/>
            <w:vAlign w:val="center"/>
          </w:tcPr>
          <w:p w14:paraId="6AA2D569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  <w:lang w:val="sr-Latn-RS"/>
              </w:rPr>
            </w:pPr>
            <w:r w:rsidRPr="004920F4">
              <w:rPr>
                <w:rFonts w:cs="Times New Roman"/>
                <w:b/>
                <w:bCs/>
                <w:sz w:val="20"/>
                <w:szCs w:val="20"/>
                <w:lang w:val="sr-Latn-RS"/>
              </w:rPr>
              <w:t>Kvalitet, %</w:t>
            </w:r>
          </w:p>
        </w:tc>
      </w:tr>
      <w:tr w:rsidR="00F14CD4" w:rsidRPr="004920F4" w14:paraId="7182E965" w14:textId="77777777" w:rsidTr="00720EE0">
        <w:trPr>
          <w:trHeight w:hRule="exact" w:val="849"/>
        </w:trPr>
        <w:tc>
          <w:tcPr>
            <w:tcW w:w="1466" w:type="dxa"/>
            <w:vAlign w:val="center"/>
          </w:tcPr>
          <w:p w14:paraId="129E4740" w14:textId="11071803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 xml:space="preserve">Jazovnik </w:t>
            </w:r>
            <w:r w:rsidR="00B5077D">
              <w:rPr>
                <w:rFonts w:cs="Times New Roman"/>
                <w:sz w:val="20"/>
                <w:szCs w:val="20"/>
                <w:lang w:val="sr-Latn-RS"/>
              </w:rPr>
              <w:t>–</w:t>
            </w:r>
            <w:r w:rsidRPr="004920F4">
              <w:rPr>
                <w:rFonts w:cs="Times New Roman"/>
                <w:sz w:val="20"/>
                <w:szCs w:val="20"/>
                <w:lang w:val="sr-Latn-RS"/>
              </w:rPr>
              <w:t xml:space="preserve"> Debrc</w:t>
            </w:r>
          </w:p>
        </w:tc>
        <w:tc>
          <w:tcPr>
            <w:tcW w:w="992" w:type="dxa"/>
            <w:vAlign w:val="center"/>
          </w:tcPr>
          <w:p w14:paraId="5D20278F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28350000</w:t>
            </w:r>
          </w:p>
        </w:tc>
        <w:tc>
          <w:tcPr>
            <w:tcW w:w="1559" w:type="dxa"/>
            <w:vAlign w:val="center"/>
          </w:tcPr>
          <w:p w14:paraId="359A7377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350000</w:t>
            </w:r>
          </w:p>
        </w:tc>
        <w:tc>
          <w:tcPr>
            <w:tcW w:w="1418" w:type="dxa"/>
            <w:vAlign w:val="center"/>
          </w:tcPr>
          <w:p w14:paraId="014C5FE5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300000</w:t>
            </w:r>
          </w:p>
        </w:tc>
        <w:tc>
          <w:tcPr>
            <w:tcW w:w="1417" w:type="dxa"/>
            <w:vAlign w:val="center"/>
          </w:tcPr>
          <w:p w14:paraId="6A07887D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94,5</w:t>
            </w:r>
          </w:p>
        </w:tc>
        <w:tc>
          <w:tcPr>
            <w:tcW w:w="2269" w:type="dxa"/>
            <w:vAlign w:val="center"/>
          </w:tcPr>
          <w:p w14:paraId="3E0C1B5F" w14:textId="77777777" w:rsidR="00F14CD4" w:rsidRPr="00F260B2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sr-Latn-RS"/>
              </w:rPr>
            </w:pPr>
            <w:r w:rsidRPr="00F260B2">
              <w:rPr>
                <w:rFonts w:cs="Times New Roman"/>
                <w:sz w:val="20"/>
                <w:szCs w:val="20"/>
                <w:lang w:val="sr-Latn-RS"/>
              </w:rPr>
              <w:t>CaCO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97,98%; MgCO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1,04%, SiO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0,14%; Al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O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 xml:space="preserve"> 0,57%; Fe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O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0,17%</w:t>
            </w:r>
          </w:p>
        </w:tc>
      </w:tr>
      <w:tr w:rsidR="00F14CD4" w:rsidRPr="004920F4" w14:paraId="7AC23DA2" w14:textId="77777777" w:rsidTr="00720EE0">
        <w:trPr>
          <w:trHeight w:hRule="exact" w:val="826"/>
        </w:trPr>
        <w:tc>
          <w:tcPr>
            <w:tcW w:w="1466" w:type="dxa"/>
            <w:vAlign w:val="center"/>
          </w:tcPr>
          <w:p w14:paraId="4640B862" w14:textId="68DF4F6D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 xml:space="preserve">Suvodo </w:t>
            </w:r>
            <w:r w:rsidR="00B5077D">
              <w:rPr>
                <w:rFonts w:cs="Times New Roman"/>
                <w:sz w:val="20"/>
                <w:szCs w:val="20"/>
                <w:lang w:val="sr-Latn-RS"/>
              </w:rPr>
              <w:t>–</w:t>
            </w:r>
            <w:r w:rsidRPr="004920F4">
              <w:rPr>
                <w:rFonts w:cs="Times New Roman"/>
                <w:sz w:val="20"/>
                <w:szCs w:val="20"/>
                <w:lang w:val="sr-Latn-RS"/>
              </w:rPr>
              <w:t xml:space="preserve"> Jelen Do</w:t>
            </w:r>
          </w:p>
        </w:tc>
        <w:tc>
          <w:tcPr>
            <w:tcW w:w="992" w:type="dxa"/>
            <w:vAlign w:val="center"/>
          </w:tcPr>
          <w:p w14:paraId="3BEE68A2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79500000</w:t>
            </w:r>
          </w:p>
        </w:tc>
        <w:tc>
          <w:tcPr>
            <w:tcW w:w="1559" w:type="dxa"/>
            <w:vAlign w:val="center"/>
          </w:tcPr>
          <w:p w14:paraId="4430F14F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750000</w:t>
            </w:r>
          </w:p>
        </w:tc>
        <w:tc>
          <w:tcPr>
            <w:tcW w:w="1418" w:type="dxa"/>
            <w:vAlign w:val="center"/>
          </w:tcPr>
          <w:p w14:paraId="24A6311A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500000</w:t>
            </w:r>
          </w:p>
        </w:tc>
        <w:tc>
          <w:tcPr>
            <w:tcW w:w="1417" w:type="dxa"/>
            <w:vAlign w:val="center"/>
          </w:tcPr>
          <w:p w14:paraId="16B67E47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159</w:t>
            </w:r>
          </w:p>
        </w:tc>
        <w:tc>
          <w:tcPr>
            <w:tcW w:w="2269" w:type="dxa"/>
            <w:vAlign w:val="center"/>
          </w:tcPr>
          <w:p w14:paraId="7217165F" w14:textId="77777777" w:rsidR="00F14CD4" w:rsidRPr="00F260B2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sr-Latn-RS"/>
              </w:rPr>
            </w:pPr>
            <w:r w:rsidRPr="00F260B2">
              <w:rPr>
                <w:rFonts w:cs="Times New Roman"/>
                <w:sz w:val="20"/>
                <w:szCs w:val="20"/>
                <w:lang w:val="sr-Latn-RS"/>
              </w:rPr>
              <w:t>CaCO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97,02%; MgCO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1,605%;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SiO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0,26%; K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O+Na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O 0,12%;</w:t>
            </w:r>
          </w:p>
        </w:tc>
      </w:tr>
      <w:tr w:rsidR="00F14CD4" w:rsidRPr="004920F4" w14:paraId="32344718" w14:textId="77777777" w:rsidTr="00720EE0">
        <w:trPr>
          <w:trHeight w:hRule="exact" w:val="2007"/>
        </w:trPr>
        <w:tc>
          <w:tcPr>
            <w:tcW w:w="1466" w:type="dxa"/>
            <w:vAlign w:val="center"/>
          </w:tcPr>
          <w:p w14:paraId="08C36B43" w14:textId="7502732D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Kovilova</w:t>
            </w:r>
            <w:r>
              <w:rPr>
                <w:rFonts w:cs="Times New Roman"/>
                <w:sz w:val="20"/>
                <w:szCs w:val="20"/>
                <w:lang w:val="sr-Latn-RS"/>
              </w:rPr>
              <w:t>č</w:t>
            </w:r>
            <w:r w:rsidRPr="004920F4">
              <w:rPr>
                <w:rFonts w:cs="Times New Roman"/>
                <w:sz w:val="20"/>
                <w:szCs w:val="20"/>
                <w:lang w:val="sr-Latn-RS"/>
              </w:rPr>
              <w:t xml:space="preserve">a </w:t>
            </w:r>
            <w:r w:rsidR="00B5077D">
              <w:rPr>
                <w:rFonts w:cs="Times New Roman"/>
                <w:sz w:val="20"/>
                <w:szCs w:val="20"/>
                <w:lang w:val="sr-Latn-RS"/>
              </w:rPr>
              <w:t>–</w:t>
            </w:r>
            <w:r w:rsidRPr="004920F4">
              <w:rPr>
                <w:rFonts w:cs="Times New Roman"/>
                <w:sz w:val="20"/>
                <w:szCs w:val="20"/>
                <w:lang w:val="sr-Latn-RS"/>
              </w:rPr>
              <w:t xml:space="preserve"> Despotovac</w:t>
            </w:r>
          </w:p>
        </w:tc>
        <w:tc>
          <w:tcPr>
            <w:tcW w:w="992" w:type="dxa"/>
            <w:vAlign w:val="center"/>
          </w:tcPr>
          <w:p w14:paraId="4BF6A31C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48500000</w:t>
            </w:r>
          </w:p>
        </w:tc>
        <w:tc>
          <w:tcPr>
            <w:tcW w:w="1559" w:type="dxa"/>
            <w:vAlign w:val="center"/>
          </w:tcPr>
          <w:p w14:paraId="4FDC44BC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800000</w:t>
            </w:r>
          </w:p>
        </w:tc>
        <w:tc>
          <w:tcPr>
            <w:tcW w:w="1418" w:type="dxa"/>
            <w:vAlign w:val="center"/>
          </w:tcPr>
          <w:p w14:paraId="5045B8C9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400000</w:t>
            </w:r>
          </w:p>
        </w:tc>
        <w:tc>
          <w:tcPr>
            <w:tcW w:w="1417" w:type="dxa"/>
            <w:vAlign w:val="center"/>
          </w:tcPr>
          <w:p w14:paraId="1DCEE4B8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121,3</w:t>
            </w:r>
          </w:p>
        </w:tc>
        <w:tc>
          <w:tcPr>
            <w:tcW w:w="2269" w:type="dxa"/>
            <w:vAlign w:val="center"/>
          </w:tcPr>
          <w:p w14:paraId="25291753" w14:textId="77777777" w:rsidR="00F14CD4" w:rsidRPr="00F260B2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sr-Latn-RS"/>
              </w:rPr>
            </w:pPr>
            <w:r w:rsidRPr="00F260B2">
              <w:rPr>
                <w:rFonts w:cs="Times New Roman"/>
                <w:sz w:val="20"/>
                <w:szCs w:val="20"/>
                <w:lang w:val="sr-Latn-RS"/>
              </w:rPr>
              <w:t>CaCO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97,29%; MgCO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0,945%,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SiO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0,43%; Al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O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0,18%; Fe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O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0,16: Na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O</w:t>
            </w:r>
          </w:p>
          <w:p w14:paraId="347092A3" w14:textId="77777777" w:rsidR="00F14CD4" w:rsidRPr="00F260B2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sr-Latn-RS"/>
              </w:rPr>
            </w:pPr>
            <w:r w:rsidRPr="00F260B2">
              <w:rPr>
                <w:rFonts w:cs="Times New Roman"/>
                <w:sz w:val="20"/>
                <w:szCs w:val="20"/>
                <w:lang w:val="sr-Latn-RS"/>
              </w:rPr>
              <w:t>0,01%; K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O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0,03%; Cr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O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0,01%; TiO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0,01%; MnO 0,01%; P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O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5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0,02%; SO</w:t>
            </w:r>
            <w:r w:rsidRPr="00F260B2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</w:p>
          <w:p w14:paraId="5DB635A1" w14:textId="77777777" w:rsidR="00F14CD4" w:rsidRPr="00F260B2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sr-Latn-RS"/>
              </w:rPr>
            </w:pPr>
            <w:r w:rsidRPr="00F260B2">
              <w:rPr>
                <w:rFonts w:cs="Times New Roman"/>
                <w:sz w:val="20"/>
                <w:szCs w:val="20"/>
                <w:lang w:val="sr-Latn-RS"/>
              </w:rPr>
              <w:t>0,24; SrO 0,02%; BaO 0,01%; g.</w:t>
            </w:r>
            <w:r>
              <w:rPr>
                <w:rFonts w:cs="Times New Roman"/>
                <w:sz w:val="20"/>
                <w:szCs w:val="20"/>
                <w:lang w:val="sr-Latn-RS"/>
              </w:rPr>
              <w:t>ž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 xml:space="preserve"> 43,63%.</w:t>
            </w:r>
          </w:p>
        </w:tc>
      </w:tr>
      <w:tr w:rsidR="00F14CD4" w:rsidRPr="004920F4" w14:paraId="501FE283" w14:textId="77777777" w:rsidTr="00720EE0">
        <w:trPr>
          <w:trHeight w:hRule="exact" w:val="1000"/>
        </w:trPr>
        <w:tc>
          <w:tcPr>
            <w:tcW w:w="1466" w:type="dxa"/>
            <w:vAlign w:val="center"/>
          </w:tcPr>
          <w:p w14:paraId="1A9822E3" w14:textId="59750E0E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lastRenderedPageBreak/>
              <w:t xml:space="preserve">Jelenska stena </w:t>
            </w:r>
            <w:r w:rsidR="00B5077D">
              <w:rPr>
                <w:rFonts w:cs="Times New Roman"/>
                <w:sz w:val="20"/>
                <w:szCs w:val="20"/>
                <w:lang w:val="sr-Latn-RS"/>
              </w:rPr>
              <w:t>–</w:t>
            </w:r>
            <w:r w:rsidRPr="004920F4">
              <w:rPr>
                <w:rFonts w:cs="Times New Roman"/>
                <w:sz w:val="20"/>
                <w:szCs w:val="20"/>
                <w:lang w:val="sr-Latn-RS"/>
              </w:rPr>
              <w:t xml:space="preserve"> Golubac</w:t>
            </w:r>
          </w:p>
        </w:tc>
        <w:tc>
          <w:tcPr>
            <w:tcW w:w="992" w:type="dxa"/>
            <w:vAlign w:val="center"/>
          </w:tcPr>
          <w:p w14:paraId="597F16A9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25650000</w:t>
            </w:r>
          </w:p>
        </w:tc>
        <w:tc>
          <w:tcPr>
            <w:tcW w:w="1559" w:type="dxa"/>
            <w:vAlign w:val="center"/>
          </w:tcPr>
          <w:p w14:paraId="7B953412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400000</w:t>
            </w:r>
          </w:p>
        </w:tc>
        <w:tc>
          <w:tcPr>
            <w:tcW w:w="1418" w:type="dxa"/>
            <w:vAlign w:val="center"/>
          </w:tcPr>
          <w:p w14:paraId="25FB9F36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200000</w:t>
            </w:r>
          </w:p>
        </w:tc>
        <w:tc>
          <w:tcPr>
            <w:tcW w:w="1417" w:type="dxa"/>
            <w:vAlign w:val="center"/>
          </w:tcPr>
          <w:p w14:paraId="41179A15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128,3</w:t>
            </w:r>
          </w:p>
        </w:tc>
        <w:tc>
          <w:tcPr>
            <w:tcW w:w="2269" w:type="dxa"/>
            <w:vAlign w:val="center"/>
          </w:tcPr>
          <w:p w14:paraId="417EEBB3" w14:textId="77777777" w:rsidR="00F14CD4" w:rsidRPr="00F260B2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sr-Latn-RS"/>
              </w:rPr>
            </w:pPr>
            <w:r w:rsidRPr="00F260B2">
              <w:rPr>
                <w:rFonts w:cs="Times New Roman"/>
                <w:sz w:val="20"/>
                <w:szCs w:val="20"/>
                <w:lang w:val="sr-Latn-RS"/>
              </w:rPr>
              <w:t>CaCO</w:t>
            </w:r>
            <w:r w:rsidRPr="00FE159D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96,06%; MgCO</w:t>
            </w:r>
            <w:r w:rsidRPr="00FE159D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1,17%;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Al</w:t>
            </w:r>
            <w:r w:rsidRPr="00FE159D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O</w:t>
            </w:r>
            <w:r w:rsidRPr="00FE159D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0,34%; SiO</w:t>
            </w:r>
            <w:r w:rsidRPr="00FE159D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0</w:t>
            </w:r>
            <w:r>
              <w:rPr>
                <w:rFonts w:cs="Times New Roman"/>
                <w:sz w:val="20"/>
                <w:szCs w:val="20"/>
                <w:lang w:val="sr-Latn-RS"/>
              </w:rPr>
              <w:t>,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994%; Fe</w:t>
            </w:r>
            <w:r w:rsidRPr="00FE159D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O</w:t>
            </w:r>
            <w:r w:rsidRPr="00FE159D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0,26%;</w:t>
            </w:r>
          </w:p>
          <w:p w14:paraId="3D250439" w14:textId="77777777" w:rsidR="00F14CD4" w:rsidRPr="00F260B2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sr-Latn-RS"/>
              </w:rPr>
            </w:pPr>
            <w:r>
              <w:rPr>
                <w:rFonts w:cs="Times New Roman"/>
                <w:sz w:val="20"/>
                <w:szCs w:val="20"/>
                <w:lang w:val="sr-Latn-RS"/>
              </w:rPr>
              <w:t>d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robivost 8%</w:t>
            </w:r>
          </w:p>
        </w:tc>
      </w:tr>
      <w:tr w:rsidR="00F14CD4" w:rsidRPr="004920F4" w14:paraId="2683FD66" w14:textId="77777777" w:rsidTr="00720EE0">
        <w:trPr>
          <w:trHeight w:hRule="exact" w:val="1270"/>
        </w:trPr>
        <w:tc>
          <w:tcPr>
            <w:tcW w:w="1466" w:type="dxa"/>
            <w:vAlign w:val="center"/>
          </w:tcPr>
          <w:p w14:paraId="72419354" w14:textId="44F2D94D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 xml:space="preserve">Nepričava </w:t>
            </w:r>
            <w:r w:rsidR="00B5077D">
              <w:rPr>
                <w:rFonts w:cs="Times New Roman"/>
                <w:sz w:val="20"/>
                <w:szCs w:val="20"/>
                <w:lang w:val="sr-Latn-RS"/>
              </w:rPr>
              <w:t>–</w:t>
            </w:r>
            <w:r w:rsidRPr="004920F4">
              <w:rPr>
                <w:rFonts w:cs="Times New Roman"/>
                <w:sz w:val="20"/>
                <w:szCs w:val="20"/>
                <w:lang w:val="sr-Latn-RS"/>
              </w:rPr>
              <w:t xml:space="preserve"> Lajkovac</w:t>
            </w:r>
          </w:p>
        </w:tc>
        <w:tc>
          <w:tcPr>
            <w:tcW w:w="992" w:type="dxa"/>
            <w:vAlign w:val="center"/>
          </w:tcPr>
          <w:p w14:paraId="58BDF241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2200000</w:t>
            </w:r>
          </w:p>
        </w:tc>
        <w:tc>
          <w:tcPr>
            <w:tcW w:w="1559" w:type="dxa"/>
            <w:vAlign w:val="center"/>
          </w:tcPr>
          <w:p w14:paraId="0A038175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320000</w:t>
            </w:r>
          </w:p>
        </w:tc>
        <w:tc>
          <w:tcPr>
            <w:tcW w:w="1418" w:type="dxa"/>
            <w:vAlign w:val="center"/>
          </w:tcPr>
          <w:p w14:paraId="438A10D0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250000</w:t>
            </w:r>
          </w:p>
        </w:tc>
        <w:tc>
          <w:tcPr>
            <w:tcW w:w="1417" w:type="dxa"/>
            <w:vAlign w:val="center"/>
          </w:tcPr>
          <w:p w14:paraId="22B3D4F4" w14:textId="77777777" w:rsidR="00F14CD4" w:rsidRPr="004920F4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  <w:lang w:val="sr-Latn-RS"/>
              </w:rPr>
            </w:pPr>
            <w:r w:rsidRPr="004920F4">
              <w:rPr>
                <w:rFonts w:cs="Times New Roman"/>
                <w:sz w:val="20"/>
                <w:szCs w:val="20"/>
                <w:lang w:val="sr-Latn-RS"/>
              </w:rPr>
              <w:t>8,8*</w:t>
            </w:r>
          </w:p>
        </w:tc>
        <w:tc>
          <w:tcPr>
            <w:tcW w:w="2269" w:type="dxa"/>
            <w:vAlign w:val="center"/>
          </w:tcPr>
          <w:p w14:paraId="67FD62DD" w14:textId="77777777" w:rsidR="00F14CD4" w:rsidRPr="00F260B2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sr-Latn-RS"/>
              </w:rPr>
            </w:pPr>
            <w:r w:rsidRPr="00F260B2">
              <w:rPr>
                <w:rFonts w:cs="Times New Roman"/>
                <w:sz w:val="20"/>
                <w:szCs w:val="20"/>
                <w:lang w:val="sr-Latn-RS"/>
              </w:rPr>
              <w:t>CaCO</w:t>
            </w:r>
            <w:r w:rsidRPr="00FE159D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98,33%; MgCO</w:t>
            </w:r>
            <w:r w:rsidRPr="00FE159D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 xml:space="preserve"> 0,462-0</w:t>
            </w:r>
            <w:r>
              <w:rPr>
                <w:rFonts w:cs="Times New Roman"/>
                <w:sz w:val="20"/>
                <w:szCs w:val="20"/>
                <w:lang w:val="sr-Latn-RS"/>
              </w:rPr>
              <w:t>,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8%; Al</w:t>
            </w:r>
            <w:r w:rsidRPr="00FE159D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O</w:t>
            </w:r>
            <w:r w:rsidRPr="00FE159D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 xml:space="preserve"> 0,30%; SiO</w:t>
            </w:r>
            <w:r w:rsidRPr="00FE159D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 xml:space="preserve"> 1,14%; Fe</w:t>
            </w:r>
            <w:r w:rsidRPr="00FE159D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O</w:t>
            </w:r>
            <w:r w:rsidRPr="00FE159D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3</w:t>
            </w:r>
          </w:p>
          <w:p w14:paraId="7EC6AA66" w14:textId="77777777" w:rsidR="00F14CD4" w:rsidRPr="00F260B2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sr-Latn-RS"/>
              </w:rPr>
            </w:pPr>
            <w:r w:rsidRPr="00F260B2">
              <w:rPr>
                <w:rFonts w:cs="Times New Roman"/>
                <w:sz w:val="20"/>
                <w:szCs w:val="20"/>
                <w:lang w:val="sr-Latn-RS"/>
              </w:rPr>
              <w:t>0,31%; Na</w:t>
            </w:r>
            <w:r w:rsidRPr="00FE159D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O 0,14%; K</w:t>
            </w:r>
            <w:r w:rsidRPr="00FE159D">
              <w:rPr>
                <w:rFonts w:cs="Times New Roman"/>
                <w:sz w:val="20"/>
                <w:szCs w:val="20"/>
                <w:vertAlign w:val="subscript"/>
                <w:lang w:val="sr-Latn-RS"/>
              </w:rPr>
              <w:t>2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O 0,06%; g.</w:t>
            </w:r>
            <w:r>
              <w:rPr>
                <w:rFonts w:cs="Times New Roman"/>
                <w:sz w:val="20"/>
                <w:szCs w:val="20"/>
                <w:lang w:val="sr-Latn-RS"/>
              </w:rPr>
              <w:t>ž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.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43,31%;</w:t>
            </w:r>
          </w:p>
        </w:tc>
      </w:tr>
      <w:tr w:rsidR="00F14CD4" w:rsidRPr="004920F4" w14:paraId="0F3257AB" w14:textId="77777777" w:rsidTr="00720EE0">
        <w:trPr>
          <w:trHeight w:hRule="exact" w:val="1402"/>
        </w:trPr>
        <w:tc>
          <w:tcPr>
            <w:tcW w:w="9121" w:type="dxa"/>
            <w:gridSpan w:val="6"/>
            <w:vAlign w:val="center"/>
          </w:tcPr>
          <w:p w14:paraId="309CECBA" w14:textId="77777777" w:rsidR="00F14CD4" w:rsidRPr="00F260B2" w:rsidRDefault="00F14CD4" w:rsidP="00720EE0">
            <w:pPr>
              <w:kinsoku w:val="0"/>
              <w:overflowPunct w:val="0"/>
              <w:autoSpaceDE w:val="0"/>
              <w:autoSpaceDN w:val="0"/>
              <w:adjustRightInd w:val="0"/>
              <w:ind w:left="57" w:right="57"/>
              <w:jc w:val="both"/>
              <w:rPr>
                <w:rFonts w:cs="Times New Roman"/>
                <w:sz w:val="20"/>
                <w:szCs w:val="20"/>
                <w:lang w:val="sr-Latn-RS"/>
              </w:rPr>
            </w:pPr>
            <w:r>
              <w:rPr>
                <w:rFonts w:cs="Times New Roman"/>
                <w:sz w:val="20"/>
                <w:szCs w:val="20"/>
                <w:lang w:val="sr-Latn-RS"/>
              </w:rPr>
              <w:t xml:space="preserve">* –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S obzirom da se bilansne rezerve generalno utvr</w:t>
            </w:r>
            <w:r>
              <w:rPr>
                <w:rFonts w:cs="Times New Roman"/>
                <w:sz w:val="20"/>
                <w:szCs w:val="20"/>
                <w:lang w:val="sr-Latn-RS"/>
              </w:rPr>
              <w:t>đ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uju u zavisnosti od potreba i potencijalnog plasmana,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kamenolomi u sastavu Kolubara Gra</w:t>
            </w:r>
            <w:r>
              <w:rPr>
                <w:rFonts w:cs="Times New Roman"/>
                <w:sz w:val="20"/>
                <w:szCs w:val="20"/>
                <w:lang w:val="sr-Latn-RS"/>
              </w:rPr>
              <w:t>đ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evinar d.o.o. nisu imali potrebe za proširivanjem eksploatacionog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polja, a samim tim ni za utvr</w:t>
            </w:r>
            <w:r>
              <w:rPr>
                <w:rFonts w:cs="Times New Roman"/>
                <w:sz w:val="20"/>
                <w:szCs w:val="20"/>
                <w:lang w:val="sr-Latn-RS"/>
              </w:rPr>
              <w:t>đ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ivanje pravih bilansnih rezervi. Kako su u predmetnom preduzeću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zainteresovani za snabdevanje termoenergetskih postrojenja za potrebe procesa odsumporavanja dimnih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gasova, što je i u interesu Naru</w:t>
            </w:r>
            <w:r>
              <w:rPr>
                <w:rFonts w:cs="Times New Roman"/>
                <w:sz w:val="20"/>
                <w:szCs w:val="20"/>
                <w:lang w:val="sr-Latn-RS"/>
              </w:rPr>
              <w:t>č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 xml:space="preserve">ioca, 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potrebno je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da se izvrše dodatna geološka istraživanja u</w:t>
            </w:r>
            <w:r>
              <w:rPr>
                <w:rFonts w:cs="Times New Roman"/>
                <w:sz w:val="20"/>
                <w:szCs w:val="20"/>
                <w:lang w:val="sr-Latn-RS"/>
              </w:rPr>
              <w:t xml:space="preserve"> </w:t>
            </w:r>
            <w:r w:rsidRPr="00F260B2">
              <w:rPr>
                <w:rFonts w:cs="Times New Roman"/>
                <w:sz w:val="20"/>
                <w:szCs w:val="20"/>
                <w:lang w:val="sr-Latn-RS"/>
              </w:rPr>
              <w:t>cilju izrade inoviranog Elaborata o rezervama krečnjaka.</w:t>
            </w:r>
          </w:p>
        </w:tc>
      </w:tr>
    </w:tbl>
    <w:p w14:paraId="2C8AC4B4" w14:textId="62A8F219" w:rsidR="00F14CD4" w:rsidRDefault="00F14CD4" w:rsidP="00107C7A">
      <w:pPr>
        <w:jc w:val="both"/>
        <w:rPr>
          <w:szCs w:val="24"/>
          <w:lang w:val="sr-Latn-RS"/>
        </w:rPr>
      </w:pPr>
    </w:p>
    <w:p w14:paraId="065C9894" w14:textId="0579EF4F" w:rsidR="00F14CD4" w:rsidRDefault="005E624A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 xml:space="preserve">Što se tiče komentara o načinu isporuke krečnjaka i koncepcije prijemnog mesta krečnjaka u TENT B sa stanovišta zaštite životne sredine tehničkom dokumentacijom je kako je to navedeno u studiji na pretovarnim mestima biće izvedeni sistemi otprašivanja kako bi se emisija praškastih materija svela na najmanju moguću meru. Takođe, u merama zaštite u studiji su definisane mere koje dodatno smanjuju difuzne i emisije praškastih materija iz sistema za dopremu i transport krečnjaka. </w:t>
      </w:r>
    </w:p>
    <w:p w14:paraId="66FF8D1E" w14:textId="3087202F" w:rsidR="00B64756" w:rsidRDefault="00B64756" w:rsidP="00107C7A">
      <w:pPr>
        <w:jc w:val="both"/>
        <w:rPr>
          <w:szCs w:val="24"/>
          <w:lang w:val="sr-Latn-RS"/>
        </w:rPr>
      </w:pPr>
    </w:p>
    <w:p w14:paraId="368DB296" w14:textId="27D23678" w:rsidR="00912E53" w:rsidRPr="00912E53" w:rsidRDefault="00912E53" w:rsidP="00912E53">
      <w:pPr>
        <w:jc w:val="both"/>
        <w:rPr>
          <w:szCs w:val="24"/>
          <w:lang w:val="sr-Latn-RS"/>
        </w:rPr>
      </w:pPr>
      <w:r w:rsidRPr="00912E53">
        <w:rPr>
          <w:szCs w:val="24"/>
          <w:lang w:val="sr-Latn-RS"/>
        </w:rPr>
        <w:t xml:space="preserve">Prema zahtevima regulative, potrebno je da se predmetnom </w:t>
      </w:r>
      <w:r>
        <w:rPr>
          <w:szCs w:val="24"/>
          <w:lang w:val="sr-Latn-RS"/>
        </w:rPr>
        <w:t>s</w:t>
      </w:r>
      <w:r w:rsidRPr="00912E53">
        <w:rPr>
          <w:szCs w:val="24"/>
          <w:lang w:val="sr-Latn-RS"/>
        </w:rPr>
        <w:t>tudijom potvrdi da je izabrano</w:t>
      </w:r>
      <w:r>
        <w:rPr>
          <w:szCs w:val="24"/>
          <w:lang w:val="sr-Latn-RS"/>
        </w:rPr>
        <w:t xml:space="preserve"> </w:t>
      </w:r>
      <w:r w:rsidRPr="00912E53">
        <w:rPr>
          <w:szCs w:val="24"/>
          <w:lang w:val="sr-Latn-RS"/>
        </w:rPr>
        <w:t>tehničko rešenje optimalno i sa aspekta uticaja na životnu sredinu.</w:t>
      </w:r>
    </w:p>
    <w:p w14:paraId="34546755" w14:textId="3D3AB251" w:rsidR="00912E53" w:rsidRPr="00912E53" w:rsidRDefault="00912E53" w:rsidP="00912E53">
      <w:pPr>
        <w:jc w:val="both"/>
        <w:rPr>
          <w:szCs w:val="24"/>
          <w:lang w:val="sr-Latn-RS"/>
        </w:rPr>
      </w:pPr>
      <w:r w:rsidRPr="00912E53">
        <w:rPr>
          <w:szCs w:val="24"/>
          <w:lang w:val="sr-Latn-RS"/>
        </w:rPr>
        <w:t>Kada se radi o postrojenjima koja, sama po sebi predstavljaju novu meru zaštite životne</w:t>
      </w:r>
      <w:r>
        <w:rPr>
          <w:szCs w:val="24"/>
          <w:lang w:val="sr-Latn-RS"/>
        </w:rPr>
        <w:t xml:space="preserve"> </w:t>
      </w:r>
      <w:r w:rsidRPr="00912E53">
        <w:rPr>
          <w:szCs w:val="24"/>
          <w:lang w:val="sr-Latn-RS"/>
        </w:rPr>
        <w:t>sredine u postojećem industrijskom objektu, alternative se prevashodno odnose na izbor</w:t>
      </w:r>
      <w:r>
        <w:rPr>
          <w:szCs w:val="24"/>
          <w:lang w:val="sr-Latn-RS"/>
        </w:rPr>
        <w:t xml:space="preserve"> </w:t>
      </w:r>
      <w:r w:rsidRPr="00912E53">
        <w:rPr>
          <w:szCs w:val="24"/>
          <w:lang w:val="sr-Latn-RS"/>
        </w:rPr>
        <w:t>tehnologije i način uklapanja novog postrojenja u postojeći tehnološki proces.</w:t>
      </w:r>
    </w:p>
    <w:p w14:paraId="2E7E16C8" w14:textId="16066E83" w:rsidR="00912E53" w:rsidRPr="00912E53" w:rsidRDefault="00912E53" w:rsidP="00912E53">
      <w:pPr>
        <w:jc w:val="both"/>
        <w:rPr>
          <w:szCs w:val="24"/>
          <w:lang w:val="sr-Latn-RS"/>
        </w:rPr>
      </w:pPr>
      <w:r w:rsidRPr="00912E53">
        <w:rPr>
          <w:szCs w:val="24"/>
          <w:lang w:val="sr-Latn-RS"/>
        </w:rPr>
        <w:t>Prema Zakonu o planiranju i izgradnji, alternativna rešenja se razmatraju u fazama izrade</w:t>
      </w:r>
      <w:r>
        <w:rPr>
          <w:szCs w:val="24"/>
          <w:lang w:val="sr-Latn-RS"/>
        </w:rPr>
        <w:t xml:space="preserve"> </w:t>
      </w:r>
      <w:r w:rsidRPr="00912E53">
        <w:rPr>
          <w:szCs w:val="24"/>
          <w:lang w:val="sr-Latn-RS"/>
        </w:rPr>
        <w:t>prethodne investiciono tehničke dokumentacije, dok se Idejni projekat (koji je osnova za</w:t>
      </w:r>
      <w:r>
        <w:rPr>
          <w:szCs w:val="24"/>
          <w:lang w:val="sr-Latn-RS"/>
        </w:rPr>
        <w:t xml:space="preserve"> </w:t>
      </w:r>
      <w:r w:rsidRPr="00912E53">
        <w:rPr>
          <w:szCs w:val="24"/>
          <w:lang w:val="sr-Latn-RS"/>
        </w:rPr>
        <w:t>izradu Studije o proceni uticaja) odnosi na usvojeno tehničko rešenje.</w:t>
      </w:r>
    </w:p>
    <w:p w14:paraId="7C96C4EE" w14:textId="62E5FD70" w:rsidR="00912E53" w:rsidRPr="00912E53" w:rsidRDefault="00912E53" w:rsidP="00912E53">
      <w:pPr>
        <w:jc w:val="both"/>
        <w:rPr>
          <w:szCs w:val="24"/>
          <w:lang w:val="sr-Latn-RS"/>
        </w:rPr>
      </w:pPr>
      <w:r w:rsidRPr="00912E53">
        <w:rPr>
          <w:szCs w:val="24"/>
          <w:lang w:val="sr-Latn-RS"/>
        </w:rPr>
        <w:t xml:space="preserve">U konkretnom projektu izgradnje postrojenja za ODG na TENT </w:t>
      </w:r>
      <w:r>
        <w:rPr>
          <w:szCs w:val="24"/>
          <w:lang w:val="sr-Latn-RS"/>
        </w:rPr>
        <w:t>B</w:t>
      </w:r>
      <w:r w:rsidRPr="00912E53">
        <w:rPr>
          <w:szCs w:val="24"/>
          <w:lang w:val="sr-Latn-RS"/>
        </w:rPr>
        <w:t>, razmatranje mogućih</w:t>
      </w:r>
      <w:r w:rsidR="00D42BD4">
        <w:rPr>
          <w:szCs w:val="24"/>
          <w:lang w:val="sr-Latn-RS"/>
        </w:rPr>
        <w:t xml:space="preserve"> </w:t>
      </w:r>
      <w:r w:rsidRPr="00912E53">
        <w:rPr>
          <w:szCs w:val="24"/>
          <w:lang w:val="sr-Latn-RS"/>
        </w:rPr>
        <w:t>tehničkih rešenja otpočelo je izradom Studije optimalnog smanjenja emisija sumpor</w:t>
      </w:r>
      <w:r w:rsidR="00D42BD4">
        <w:rPr>
          <w:szCs w:val="24"/>
          <w:lang w:val="sr-Latn-RS"/>
        </w:rPr>
        <w:t xml:space="preserve"> </w:t>
      </w:r>
      <w:r w:rsidRPr="00912E53">
        <w:rPr>
          <w:szCs w:val="24"/>
          <w:lang w:val="sr-Latn-RS"/>
        </w:rPr>
        <w:t>dioksida</w:t>
      </w:r>
      <w:r w:rsidR="00D42BD4">
        <w:rPr>
          <w:szCs w:val="24"/>
          <w:lang w:val="sr-Latn-RS"/>
        </w:rPr>
        <w:t xml:space="preserve"> </w:t>
      </w:r>
      <w:r w:rsidRPr="00912E53">
        <w:rPr>
          <w:szCs w:val="24"/>
          <w:lang w:val="sr-Latn-RS"/>
        </w:rPr>
        <w:t>iz TE EPS, u kojoj je, na osnovu karakteristika blokova na ugalj i parametara dimnog gasa,</w:t>
      </w:r>
      <w:r w:rsidR="00D42BD4">
        <w:rPr>
          <w:szCs w:val="24"/>
          <w:lang w:val="sr-Latn-RS"/>
        </w:rPr>
        <w:t xml:space="preserve"> </w:t>
      </w:r>
      <w:r w:rsidRPr="00912E53">
        <w:rPr>
          <w:szCs w:val="24"/>
          <w:lang w:val="sr-Latn-RS"/>
        </w:rPr>
        <w:t>kao optimalna tehnologija odsumporava</w:t>
      </w:r>
      <w:r w:rsidR="00D42BD4">
        <w:rPr>
          <w:szCs w:val="24"/>
          <w:lang w:val="sr-Latn-RS"/>
        </w:rPr>
        <w:t>n</w:t>
      </w:r>
      <w:r w:rsidRPr="00912E53">
        <w:rPr>
          <w:szCs w:val="24"/>
          <w:lang w:val="sr-Latn-RS"/>
        </w:rPr>
        <w:t xml:space="preserve">ja za blokove snage </w:t>
      </w:r>
      <w:r w:rsidR="004554AB">
        <w:rPr>
          <w:szCs w:val="24"/>
          <w:lang w:val="sr-Latn-RS"/>
        </w:rPr>
        <w:t>veće od</w:t>
      </w:r>
      <w:r w:rsidRPr="00912E53">
        <w:rPr>
          <w:szCs w:val="24"/>
          <w:lang w:val="sr-Latn-RS"/>
        </w:rPr>
        <w:t xml:space="preserve"> 300 MW</w:t>
      </w:r>
      <w:r w:rsidR="00D42BD4" w:rsidRPr="00D42BD4">
        <w:rPr>
          <w:szCs w:val="24"/>
          <w:vertAlign w:val="subscript"/>
          <w:lang w:val="sr-Latn-RS"/>
        </w:rPr>
        <w:t>th</w:t>
      </w:r>
      <w:r w:rsidRPr="00912E53">
        <w:rPr>
          <w:szCs w:val="24"/>
          <w:lang w:val="sr-Latn-RS"/>
        </w:rPr>
        <w:t>, odabran vlažni</w:t>
      </w:r>
      <w:r w:rsidR="00D42BD4">
        <w:rPr>
          <w:szCs w:val="24"/>
          <w:lang w:val="sr-Latn-RS"/>
        </w:rPr>
        <w:t xml:space="preserve"> </w:t>
      </w:r>
      <w:r w:rsidRPr="00912E53">
        <w:rPr>
          <w:szCs w:val="24"/>
          <w:lang w:val="sr-Latn-RS"/>
        </w:rPr>
        <w:t>krečnjak-gips postupak. Samim tim, u narednim koracima razvoja projekta nisu razmatrane</w:t>
      </w:r>
      <w:r w:rsidR="007E3175">
        <w:rPr>
          <w:szCs w:val="24"/>
          <w:lang w:val="sr-Latn-RS"/>
        </w:rPr>
        <w:t xml:space="preserve"> </w:t>
      </w:r>
      <w:r w:rsidRPr="00912E53">
        <w:rPr>
          <w:szCs w:val="24"/>
          <w:lang w:val="sr-Latn-RS"/>
        </w:rPr>
        <w:t>alternativne tehnologije ODG.</w:t>
      </w:r>
    </w:p>
    <w:p w14:paraId="2A4C69F3" w14:textId="04E29314" w:rsidR="00912E53" w:rsidRDefault="00912E53" w:rsidP="00107C7A">
      <w:pPr>
        <w:jc w:val="both"/>
        <w:rPr>
          <w:szCs w:val="24"/>
          <w:lang w:val="sr-Latn-RS"/>
        </w:rPr>
      </w:pPr>
    </w:p>
    <w:p w14:paraId="03312596" w14:textId="41787A31" w:rsidR="003D38EC" w:rsidRDefault="003D38EC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Dopunjen je tekst u poglavljima 4.5 – 4.10</w:t>
      </w:r>
    </w:p>
    <w:p w14:paraId="40C3AA64" w14:textId="77777777" w:rsidR="00912E53" w:rsidRDefault="00912E53" w:rsidP="00107C7A">
      <w:pPr>
        <w:jc w:val="both"/>
        <w:rPr>
          <w:szCs w:val="24"/>
          <w:lang w:val="sr-Latn-RS"/>
        </w:rPr>
      </w:pPr>
    </w:p>
    <w:p w14:paraId="216AE321" w14:textId="7DC7F86C" w:rsidR="00ED151E" w:rsidRDefault="00ED151E" w:rsidP="00107C7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II.5</w:t>
      </w:r>
    </w:p>
    <w:p w14:paraId="2DEF1154" w14:textId="46A5A472" w:rsidR="00173FBA" w:rsidRPr="00ED151E" w:rsidRDefault="00ED151E" w:rsidP="00173FBA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U s</w:t>
      </w:r>
      <w:r w:rsidRPr="00ED151E">
        <w:rPr>
          <w:szCs w:val="24"/>
          <w:lang w:val="sr-Latn-RS"/>
        </w:rPr>
        <w:t>tudij</w:t>
      </w:r>
      <w:r>
        <w:rPr>
          <w:szCs w:val="24"/>
          <w:lang w:val="sr-Latn-RS"/>
        </w:rPr>
        <w:t>i</w:t>
      </w:r>
      <w:r w:rsidRPr="00ED151E">
        <w:rPr>
          <w:szCs w:val="24"/>
          <w:lang w:val="sr-Latn-RS"/>
        </w:rPr>
        <w:t xml:space="preserve">, </w:t>
      </w:r>
      <w:r>
        <w:rPr>
          <w:szCs w:val="24"/>
          <w:lang w:val="sr-Latn-RS"/>
        </w:rPr>
        <w:t xml:space="preserve">korišćenjem </w:t>
      </w:r>
      <w:r w:rsidRPr="00ED151E">
        <w:rPr>
          <w:szCs w:val="24"/>
          <w:lang w:val="sr-Latn-RS"/>
        </w:rPr>
        <w:t xml:space="preserve">rezultata </w:t>
      </w:r>
      <w:r>
        <w:rPr>
          <w:szCs w:val="24"/>
          <w:lang w:val="sr-Latn-RS"/>
        </w:rPr>
        <w:t>koji su dobijeni</w:t>
      </w:r>
      <w:r w:rsidRPr="00ED151E">
        <w:rPr>
          <w:szCs w:val="24"/>
          <w:lang w:val="sr-Latn-RS"/>
        </w:rPr>
        <w:t xml:space="preserve"> odgovarajućim disperzionim modelom, data je reprezentativn</w:t>
      </w:r>
      <w:r>
        <w:rPr>
          <w:szCs w:val="24"/>
          <w:lang w:val="sr-Latn-RS"/>
        </w:rPr>
        <w:t>a</w:t>
      </w:r>
      <w:r w:rsidRPr="00ED151E">
        <w:rPr>
          <w:szCs w:val="24"/>
          <w:lang w:val="sr-Latn-RS"/>
        </w:rPr>
        <w:t xml:space="preserve"> procenu uticaja zagađujućih materija, koje se emituju iz dimnjaka termoelektrana “Nikola Tesla A” i “Nikola Tesla B”, na kvalitet vazduha nakon izgradnje postrojenja za ODG na svim blokovima kao i bloka B3. </w:t>
      </w:r>
      <w:r w:rsidR="00173FBA">
        <w:rPr>
          <w:szCs w:val="24"/>
          <w:lang w:val="sr-Latn-RS"/>
        </w:rPr>
        <w:t>Studija je obuhvatila svih šest budućih emitera</w:t>
      </w:r>
      <w:r w:rsidR="00173FBA" w:rsidRPr="00ED151E">
        <w:rPr>
          <w:szCs w:val="24"/>
          <w:lang w:val="sr-Latn-RS"/>
        </w:rPr>
        <w:t xml:space="preserve"> u okviru termoelektrana </w:t>
      </w:r>
      <w:r w:rsidR="00173FBA">
        <w:rPr>
          <w:szCs w:val="24"/>
          <w:lang w:val="sr-Latn-RS"/>
        </w:rPr>
        <w:t>TENT A i TENT B</w:t>
      </w:r>
      <w:r w:rsidR="00173FBA" w:rsidRPr="00ED151E">
        <w:rPr>
          <w:szCs w:val="24"/>
          <w:lang w:val="sr-Latn-RS"/>
        </w:rPr>
        <w:t>.</w:t>
      </w:r>
    </w:p>
    <w:p w14:paraId="4C40BE13" w14:textId="44A765AC" w:rsidR="00ED151E" w:rsidRDefault="00ED151E" w:rsidP="00ED151E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 xml:space="preserve">Disperzioni model je obuhvatio ne samo efekat </w:t>
      </w:r>
      <w:r w:rsidR="00173FBA">
        <w:rPr>
          <w:szCs w:val="24"/>
          <w:lang w:val="sr-Latn-RS"/>
        </w:rPr>
        <w:t xml:space="preserve">rada </w:t>
      </w:r>
      <w:r>
        <w:rPr>
          <w:szCs w:val="24"/>
          <w:lang w:val="sr-Latn-RS"/>
        </w:rPr>
        <w:t>pojedinačnih postrojenja TENT A i TENT B, već i njihov kumulativni efekat</w:t>
      </w:r>
      <w:r w:rsidR="00173FBA">
        <w:rPr>
          <w:szCs w:val="24"/>
          <w:lang w:val="sr-Latn-RS"/>
        </w:rPr>
        <w:t xml:space="preserve"> pri istovremenom radu.</w:t>
      </w:r>
      <w:r w:rsidR="00173FBA" w:rsidRPr="00173FBA">
        <w:t xml:space="preserve"> </w:t>
      </w:r>
      <w:r w:rsidR="00173FBA" w:rsidRPr="00173FBA">
        <w:rPr>
          <w:szCs w:val="24"/>
          <w:lang w:val="sr-Latn-RS"/>
        </w:rPr>
        <w:t xml:space="preserve">Treba imati na umu da prikazani rezultati u </w:t>
      </w:r>
      <w:r w:rsidR="00173FBA">
        <w:rPr>
          <w:szCs w:val="24"/>
          <w:lang w:val="sr-Latn-RS"/>
        </w:rPr>
        <w:t>s</w:t>
      </w:r>
      <w:r w:rsidR="00173FBA" w:rsidRPr="00173FBA">
        <w:rPr>
          <w:szCs w:val="24"/>
          <w:lang w:val="sr-Latn-RS"/>
        </w:rPr>
        <w:t>tudiji predstavljaju najviše moguće prizemne koncentracije razmatranih zagađujućih materija, koje su posledica najnepovoljnijih radnih parametara i najnepovoljnijih meteoroloških uslova tokom datog perioda usrednjavanja (1h / 24h/ kalendarska godina) u toku pet uzastopnih godina. Naime, za svaki od receptora prikazana je potencijalno najviša koncentracija za odgovarajući period usrednjavanja tokom perioda od pet godina.</w:t>
      </w:r>
    </w:p>
    <w:p w14:paraId="3AEDA935" w14:textId="77777777" w:rsidR="004E7551" w:rsidRDefault="00173FBA" w:rsidP="00ED151E">
      <w:pPr>
        <w:jc w:val="both"/>
        <w:rPr>
          <w:szCs w:val="24"/>
          <w:lang w:val="sr-Latn-RS"/>
        </w:rPr>
      </w:pPr>
      <w:r w:rsidRPr="00173FBA">
        <w:rPr>
          <w:szCs w:val="24"/>
          <w:lang w:val="sr-Latn-RS"/>
        </w:rPr>
        <w:lastRenderedPageBreak/>
        <w:t>Na osnovu prikazanih rezultata modelovanja kumulativnog uticaja TENT A i TENT B</w:t>
      </w:r>
      <w:r>
        <w:rPr>
          <w:szCs w:val="24"/>
          <w:lang w:val="sr-Latn-RS"/>
        </w:rPr>
        <w:t xml:space="preserve"> prizemne koncentracije zagađujućih komponenata nalaze se daleko ispod graničnih vrednosti datih Uredbom</w:t>
      </w:r>
      <w:r w:rsidR="004E7551">
        <w:rPr>
          <w:szCs w:val="24"/>
          <w:lang w:val="sr-Latn-RS"/>
        </w:rPr>
        <w:t xml:space="preserve"> </w:t>
      </w:r>
      <w:r w:rsidR="004E7551" w:rsidRPr="004E7551">
        <w:rPr>
          <w:szCs w:val="24"/>
          <w:lang w:val="sr-Latn-RS"/>
        </w:rPr>
        <w:t>o uslovima za monitoring i zahtevima kvaliteta vazduha (Sl. gl</w:t>
      </w:r>
      <w:r w:rsidR="004E7551">
        <w:rPr>
          <w:szCs w:val="24"/>
          <w:lang w:val="sr-Latn-RS"/>
        </w:rPr>
        <w:t>asnik</w:t>
      </w:r>
      <w:r w:rsidR="004E7551" w:rsidRPr="004E7551">
        <w:rPr>
          <w:szCs w:val="24"/>
          <w:lang w:val="sr-Latn-RS"/>
        </w:rPr>
        <w:t xml:space="preserve"> RS, br. 11/10, 75/10 i 63/13)</w:t>
      </w:r>
      <w:r w:rsidR="004E7551">
        <w:rPr>
          <w:szCs w:val="24"/>
          <w:lang w:val="sr-Latn-RS"/>
        </w:rPr>
        <w:t>.</w:t>
      </w:r>
      <w:r w:rsidR="004E7551" w:rsidRPr="004E7551">
        <w:rPr>
          <w:szCs w:val="24"/>
          <w:lang w:val="sr-Latn-RS"/>
        </w:rPr>
        <w:t xml:space="preserve"> </w:t>
      </w:r>
    </w:p>
    <w:p w14:paraId="64F44D6D" w14:textId="72005E49" w:rsidR="00173FBA" w:rsidRDefault="004E7551" w:rsidP="00ED151E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Studijom je obuhvaćeno i buduće postrojenja za tretman kako otpadnih voda iz procesa ODG</w:t>
      </w:r>
      <w:r w:rsidR="0062297D">
        <w:rPr>
          <w:szCs w:val="24"/>
          <w:lang w:val="sr-Latn-RS"/>
        </w:rPr>
        <w:t xml:space="preserve"> (bez kog postrojenje za ODG ne može da radi)</w:t>
      </w:r>
      <w:r>
        <w:rPr>
          <w:szCs w:val="24"/>
          <w:lang w:val="sr-Latn-RS"/>
        </w:rPr>
        <w:t xml:space="preserve"> tako i otpadnih voda na nivou celog TENT B</w:t>
      </w:r>
      <w:r w:rsidR="0062297D">
        <w:rPr>
          <w:szCs w:val="24"/>
          <w:lang w:val="sr-Latn-RS"/>
        </w:rPr>
        <w:t>.</w:t>
      </w:r>
      <w:r w:rsidR="00AD67B8">
        <w:rPr>
          <w:szCs w:val="24"/>
          <w:lang w:val="sr-Latn-RS"/>
        </w:rPr>
        <w:t xml:space="preserve"> Prečišćene otpadne vode neće se ispuštati u recipijent, već će se koristiti u okviru proizvodnog procesa na bager stanici.</w:t>
      </w:r>
    </w:p>
    <w:p w14:paraId="132E12FA" w14:textId="5F07BDB7" w:rsidR="00AD67B8" w:rsidRDefault="00AD67B8" w:rsidP="00ED151E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 xml:space="preserve">Granica projekta na izlazu iz postrojenja za ODG na strani otpadnih voda mesto </w:t>
      </w:r>
      <w:r w:rsidRPr="003B2C05">
        <w:rPr>
          <w:szCs w:val="24"/>
          <w:lang w:val="sr-Latn-RS"/>
        </w:rPr>
        <w:t>priključenja na buduće postrojenje za tretman otpadnih voda TENT B</w:t>
      </w:r>
      <w:r>
        <w:rPr>
          <w:szCs w:val="24"/>
          <w:lang w:val="sr-Latn-RS"/>
        </w:rPr>
        <w:t xml:space="preserve"> i nije predmet studije. Međutim, obrađivač studije shvata da je sistem za tretman otpadnih voda neizostavni povezan sa sistemom za ODG i iz tog razloga je dat opis tog dela postrojenja.</w:t>
      </w:r>
    </w:p>
    <w:p w14:paraId="4A6333F0" w14:textId="77777777" w:rsidR="00AD67B8" w:rsidRPr="001153D2" w:rsidRDefault="00AD67B8" w:rsidP="00ED151E">
      <w:pPr>
        <w:jc w:val="both"/>
        <w:rPr>
          <w:szCs w:val="24"/>
          <w:lang w:val="sr-Latn-RS"/>
        </w:rPr>
      </w:pPr>
    </w:p>
    <w:p w14:paraId="0911C8EE" w14:textId="2C52BCFF" w:rsidR="00E6257D" w:rsidRDefault="00E6257D" w:rsidP="00ED151E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III</w:t>
      </w:r>
    </w:p>
    <w:p w14:paraId="7D293ECD" w14:textId="6EAE21A5" w:rsidR="00E6257D" w:rsidRDefault="00C24B4C" w:rsidP="00ED151E">
      <w:pPr>
        <w:jc w:val="both"/>
        <w:rPr>
          <w:szCs w:val="24"/>
          <w:lang w:val="sr-Latn-RS"/>
        </w:rPr>
      </w:pPr>
      <w:r>
        <w:rPr>
          <w:szCs w:val="24"/>
          <w:lang w:val="sr-Latn-RS"/>
        </w:rPr>
        <w:t>Građevinska dozvola se dobija u sledećoj fazi, studija o proceni uticaja se radi na nivou idejnog projekta i predaje se uz projekat za dobijanje građevinske dozvole, a saglasnost</w:t>
      </w:r>
      <w:r w:rsidR="005B30B3">
        <w:rPr>
          <w:szCs w:val="24"/>
          <w:lang w:val="sr-Latn-RS"/>
        </w:rPr>
        <w:t xml:space="preserve"> na studiju se mora imati</w:t>
      </w:r>
      <w:r>
        <w:rPr>
          <w:szCs w:val="24"/>
          <w:lang w:val="sr-Latn-RS"/>
        </w:rPr>
        <w:t xml:space="preserve"> uz </w:t>
      </w:r>
      <w:r w:rsidR="00AA18E9">
        <w:rPr>
          <w:szCs w:val="24"/>
          <w:lang w:val="sr-Latn-RS"/>
        </w:rPr>
        <w:t>prijavu radova</w:t>
      </w:r>
      <w:r>
        <w:rPr>
          <w:szCs w:val="24"/>
          <w:lang w:val="sr-Latn-RS"/>
        </w:rPr>
        <w:t>.</w:t>
      </w:r>
    </w:p>
    <w:p w14:paraId="2AC6DF9C" w14:textId="1EB46F6F" w:rsidR="00EF5AF8" w:rsidRDefault="0082039F" w:rsidP="0082039F">
      <w:pPr>
        <w:jc w:val="both"/>
        <w:rPr>
          <w:noProof/>
          <w:szCs w:val="24"/>
          <w:lang w:val="sr-Latn-CS"/>
        </w:rPr>
      </w:pPr>
      <w:r>
        <w:rPr>
          <w:noProof/>
          <w:szCs w:val="24"/>
          <w:lang w:val="sr-Latn-CS"/>
        </w:rPr>
        <w:t>Studija</w:t>
      </w:r>
      <w:r w:rsidRPr="0082039F">
        <w:rPr>
          <w:noProof/>
          <w:szCs w:val="24"/>
          <w:lang w:val="sr-Latn-CS"/>
        </w:rPr>
        <w:t xml:space="preserve"> </w:t>
      </w:r>
      <w:r w:rsidR="00555589">
        <w:rPr>
          <w:noProof/>
          <w:szCs w:val="24"/>
          <w:lang w:val="sr-Latn-CS"/>
        </w:rPr>
        <w:t xml:space="preserve">o proceni </w:t>
      </w:r>
      <w:r>
        <w:rPr>
          <w:noProof/>
          <w:szCs w:val="24"/>
          <w:lang w:val="sr-Latn-CS"/>
        </w:rPr>
        <w:t>uticaja</w:t>
      </w:r>
      <w:r w:rsidR="00555589">
        <w:rPr>
          <w:noProof/>
          <w:szCs w:val="24"/>
          <w:lang w:val="sr-Latn-CS"/>
        </w:rPr>
        <w:t xml:space="preserve"> na životnu sredinu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je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predviđena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u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Zakonu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planiranju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izgradnji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koji propisuje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da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u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lokacijskim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uslovima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za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građevinsku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dozvolu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navodi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ukoliko postoji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obaveza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izrade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studije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uticaja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ili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obaveza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pokretanja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postupka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za odlučivanje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potrebi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izrade</w:t>
      </w:r>
      <w:r w:rsidRPr="0082039F">
        <w:rPr>
          <w:noProof/>
          <w:szCs w:val="24"/>
          <w:lang w:val="sr-Latn-CS"/>
        </w:rPr>
        <w:t xml:space="preserve">. </w:t>
      </w:r>
      <w:r>
        <w:rPr>
          <w:noProof/>
          <w:szCs w:val="24"/>
          <w:lang w:val="sr-Latn-CS"/>
        </w:rPr>
        <w:t>Za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postupak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pre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izgradnje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objekta</w:t>
      </w:r>
      <w:r w:rsidRPr="0082039F">
        <w:rPr>
          <w:noProof/>
          <w:szCs w:val="24"/>
          <w:lang w:val="sr-Latn-CS"/>
        </w:rPr>
        <w:t xml:space="preserve">, </w:t>
      </w:r>
      <w:r>
        <w:rPr>
          <w:noProof/>
          <w:szCs w:val="24"/>
          <w:lang w:val="sr-Latn-CS"/>
        </w:rPr>
        <w:t>Prav</w:t>
      </w:r>
      <w:r w:rsidR="00B61AFF">
        <w:rPr>
          <w:noProof/>
          <w:szCs w:val="24"/>
          <w:lang w:val="sr-Latn-CS"/>
        </w:rPr>
        <w:t>i</w:t>
      </w:r>
      <w:r>
        <w:rPr>
          <w:noProof/>
          <w:szCs w:val="24"/>
          <w:lang w:val="sr-Latn-CS"/>
        </w:rPr>
        <w:t>lnikom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sadržini</w:t>
      </w:r>
      <w:r w:rsidRPr="0082039F">
        <w:rPr>
          <w:noProof/>
          <w:szCs w:val="24"/>
          <w:lang w:val="sr-Latn-CS"/>
        </w:rPr>
        <w:t xml:space="preserve">, </w:t>
      </w:r>
      <w:r>
        <w:rPr>
          <w:noProof/>
          <w:szCs w:val="24"/>
          <w:lang w:val="sr-Latn-CS"/>
        </w:rPr>
        <w:t>načinu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postupku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izrade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načinu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vršenja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kontrole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tehničke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dokumentacije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prema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klasi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nameni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objekata</w:t>
      </w:r>
      <w:r w:rsidRPr="0082039F">
        <w:rPr>
          <w:noProof/>
          <w:szCs w:val="24"/>
          <w:lang w:val="sr-Latn-CS"/>
        </w:rPr>
        <w:t xml:space="preserve"> (</w:t>
      </w:r>
      <w:r>
        <w:rPr>
          <w:noProof/>
          <w:szCs w:val="24"/>
          <w:lang w:val="sr-Latn-CS"/>
        </w:rPr>
        <w:t>Sl</w:t>
      </w:r>
      <w:r w:rsidRPr="0082039F">
        <w:rPr>
          <w:noProof/>
          <w:szCs w:val="24"/>
          <w:lang w:val="sr-Latn-CS"/>
        </w:rPr>
        <w:t xml:space="preserve">. </w:t>
      </w:r>
      <w:r>
        <w:rPr>
          <w:noProof/>
          <w:szCs w:val="24"/>
          <w:lang w:val="sr-Latn-CS"/>
        </w:rPr>
        <w:t>glasnik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RS</w:t>
      </w:r>
      <w:r w:rsidRPr="0082039F">
        <w:rPr>
          <w:noProof/>
          <w:szCs w:val="24"/>
          <w:lang w:val="sr-Latn-CS"/>
        </w:rPr>
        <w:t xml:space="preserve">, </w:t>
      </w:r>
      <w:r>
        <w:rPr>
          <w:noProof/>
          <w:szCs w:val="24"/>
          <w:lang w:val="sr-Latn-CS"/>
        </w:rPr>
        <w:t>broj</w:t>
      </w:r>
      <w:r w:rsidRPr="0082039F">
        <w:rPr>
          <w:noProof/>
          <w:szCs w:val="24"/>
          <w:lang w:val="sr-Latn-CS"/>
        </w:rPr>
        <w:t xml:space="preserve"> 73/2019)</w:t>
      </w:r>
      <w:r>
        <w:rPr>
          <w:noProof/>
          <w:szCs w:val="24"/>
          <w:lang w:val="sr-Latn-CS"/>
        </w:rPr>
        <w:t xml:space="preserve"> u </w:t>
      </w:r>
      <w:r>
        <w:rPr>
          <w:noProof/>
          <w:szCs w:val="24"/>
          <w:lang w:val="sr-Latn-RS"/>
        </w:rPr>
        <w:t xml:space="preserve">članu 59. definisano je da se uz projekat za građevinsku dozvolu prilaže i studija o proceni uticaja na životnu sredinu </w:t>
      </w:r>
      <w:r>
        <w:rPr>
          <w:noProof/>
          <w:szCs w:val="24"/>
          <w:lang w:val="sr-Latn-CS"/>
        </w:rPr>
        <w:t>i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izjava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projektanta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da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je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uneo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mere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zaštite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životne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sredine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kojima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je</w:t>
      </w:r>
      <w:r w:rsidR="00EF5AF8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obezbeđeno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ispunjenje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osnovnog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zahteva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od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strane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ovlašćenog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lica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koje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je</w:t>
      </w:r>
      <w:r w:rsidR="00EF5AF8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izradilo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studiju</w:t>
      </w:r>
      <w:r w:rsidR="00B61AFF">
        <w:rPr>
          <w:noProof/>
          <w:szCs w:val="24"/>
          <w:lang w:val="sr-Cyrl-RS"/>
        </w:rPr>
        <w:t xml:space="preserve"> о </w:t>
      </w:r>
      <w:r w:rsidR="00B61AFF">
        <w:rPr>
          <w:noProof/>
          <w:szCs w:val="24"/>
          <w:lang w:val="sr-Latn-RS"/>
        </w:rPr>
        <w:t>proceni uticaja na životnu sredinu (član 52)</w:t>
      </w:r>
      <w:r w:rsidRPr="0082039F">
        <w:rPr>
          <w:noProof/>
          <w:szCs w:val="24"/>
          <w:lang w:val="sr-Latn-CS"/>
        </w:rPr>
        <w:t>.</w:t>
      </w:r>
      <w:r w:rsidR="00EF5AF8">
        <w:rPr>
          <w:noProof/>
          <w:szCs w:val="24"/>
          <w:lang w:val="sr-Latn-CS"/>
        </w:rPr>
        <w:t xml:space="preserve"> Elaborati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i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studije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iz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stava</w:t>
      </w:r>
      <w:r w:rsidR="00EF5AF8" w:rsidRPr="00EF5AF8">
        <w:rPr>
          <w:noProof/>
          <w:szCs w:val="24"/>
          <w:lang w:val="sr-Latn-CS"/>
        </w:rPr>
        <w:t xml:space="preserve"> 1. </w:t>
      </w:r>
      <w:r w:rsidR="00EF5AF8">
        <w:rPr>
          <w:noProof/>
          <w:szCs w:val="24"/>
          <w:lang w:val="sr-Latn-CS"/>
        </w:rPr>
        <w:t>i</w:t>
      </w:r>
      <w:r w:rsidR="00EF5AF8" w:rsidRPr="00EF5AF8">
        <w:rPr>
          <w:noProof/>
          <w:szCs w:val="24"/>
          <w:lang w:val="sr-Latn-CS"/>
        </w:rPr>
        <w:t xml:space="preserve"> 2. člana 59. Pravilnika 73/2019 </w:t>
      </w:r>
      <w:r w:rsidR="00EF5AF8">
        <w:rPr>
          <w:noProof/>
          <w:szCs w:val="24"/>
          <w:lang w:val="sr-Latn-CS"/>
        </w:rPr>
        <w:t>ne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podležu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tehničkoj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kontroli</w:t>
      </w:r>
      <w:r w:rsidR="00EF5AF8" w:rsidRPr="00EF5AF8">
        <w:rPr>
          <w:noProof/>
          <w:szCs w:val="24"/>
          <w:lang w:val="sr-Latn-CS"/>
        </w:rPr>
        <w:t xml:space="preserve">, </w:t>
      </w:r>
      <w:r w:rsidR="00EF5AF8">
        <w:rPr>
          <w:noProof/>
          <w:szCs w:val="24"/>
          <w:lang w:val="sr-Latn-CS"/>
        </w:rPr>
        <w:t>već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tehnička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kontrola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proverava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i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konstatuje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da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li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su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načini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za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ispunjenje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odgovarajućih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osnovnih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zahteva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za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objekat</w:t>
      </w:r>
      <w:r w:rsidR="00EF5AF8" w:rsidRPr="00EF5AF8">
        <w:rPr>
          <w:noProof/>
          <w:szCs w:val="24"/>
          <w:lang w:val="sr-Latn-CS"/>
        </w:rPr>
        <w:t xml:space="preserve">, </w:t>
      </w:r>
      <w:r w:rsidR="00EF5AF8">
        <w:rPr>
          <w:noProof/>
          <w:szCs w:val="24"/>
          <w:lang w:val="sr-Latn-CS"/>
        </w:rPr>
        <w:t>a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koji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predviđeni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odgovarajućim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elaboratima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i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studijama</w:t>
      </w:r>
      <w:r w:rsidR="00EF5AF8" w:rsidRPr="00EF5AF8">
        <w:rPr>
          <w:noProof/>
          <w:szCs w:val="24"/>
          <w:lang w:val="sr-Latn-CS"/>
        </w:rPr>
        <w:t xml:space="preserve">, </w:t>
      </w:r>
      <w:r w:rsidR="00EF5AF8">
        <w:rPr>
          <w:noProof/>
          <w:szCs w:val="24"/>
          <w:lang w:val="sr-Latn-CS"/>
        </w:rPr>
        <w:t>primenjeni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u</w:t>
      </w:r>
      <w:r w:rsidR="00EF5AF8" w:rsidRPr="00EF5AF8">
        <w:rPr>
          <w:noProof/>
          <w:szCs w:val="24"/>
          <w:lang w:val="sr-Latn-CS"/>
        </w:rPr>
        <w:t xml:space="preserve"> </w:t>
      </w:r>
      <w:r w:rsidR="00EF5AF8">
        <w:rPr>
          <w:noProof/>
          <w:szCs w:val="24"/>
          <w:lang w:val="sr-Latn-CS"/>
        </w:rPr>
        <w:t>projektima</w:t>
      </w:r>
      <w:r w:rsidR="00EF5AF8" w:rsidRPr="00EF5AF8">
        <w:rPr>
          <w:noProof/>
          <w:szCs w:val="24"/>
          <w:lang w:val="sr-Latn-CS"/>
        </w:rPr>
        <w:t>.</w:t>
      </w:r>
    </w:p>
    <w:p w14:paraId="4CC4C38B" w14:textId="28B1C071" w:rsidR="00173FBA" w:rsidRDefault="0082039F" w:rsidP="0082039F">
      <w:pPr>
        <w:jc w:val="both"/>
        <w:rPr>
          <w:noProof/>
          <w:szCs w:val="24"/>
          <w:lang w:val="sr-Cyrl-RS"/>
        </w:rPr>
      </w:pPr>
      <w:r>
        <w:rPr>
          <w:noProof/>
          <w:szCs w:val="24"/>
          <w:lang w:val="sr-Latn-CS"/>
        </w:rPr>
        <w:t>Za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postupak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posle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izgradnje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objekta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je</w:t>
      </w:r>
      <w:r w:rsidRPr="0082039F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P</w:t>
      </w:r>
      <w:r w:rsidR="00D91F65" w:rsidRPr="00D91F65">
        <w:rPr>
          <w:noProof/>
          <w:szCs w:val="24"/>
          <w:lang w:val="sr-Latn-CS"/>
        </w:rPr>
        <w:t xml:space="preserve">ravilnikom </w:t>
      </w:r>
      <w:r w:rsidR="00D91F65">
        <w:rPr>
          <w:noProof/>
          <w:szCs w:val="24"/>
          <w:lang w:val="sr-Latn-CS"/>
        </w:rPr>
        <w:t>o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sadržini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i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načinu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vršenja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tehničkog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pregleda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objekta</w:t>
      </w:r>
      <w:r w:rsidR="00D91F65" w:rsidRPr="00D91F65">
        <w:rPr>
          <w:noProof/>
          <w:szCs w:val="24"/>
          <w:lang w:val="sr-Latn-CS"/>
        </w:rPr>
        <w:t xml:space="preserve">, </w:t>
      </w:r>
      <w:r w:rsidR="00D91F65">
        <w:rPr>
          <w:noProof/>
          <w:szCs w:val="24"/>
          <w:lang w:val="sr-Latn-CS"/>
        </w:rPr>
        <w:t>sastavu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komisije</w:t>
      </w:r>
      <w:r w:rsidR="00D91F65" w:rsidRPr="00D91F65">
        <w:rPr>
          <w:noProof/>
          <w:szCs w:val="24"/>
          <w:lang w:val="sr-Latn-CS"/>
        </w:rPr>
        <w:t xml:space="preserve">, </w:t>
      </w:r>
      <w:r w:rsidR="00D91F65">
        <w:rPr>
          <w:noProof/>
          <w:szCs w:val="24"/>
          <w:lang w:val="sr-Latn-CS"/>
        </w:rPr>
        <w:t>sadržini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predloga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komisije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o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utvrđivanju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podobnosti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objekta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za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upotrebu</w:t>
      </w:r>
      <w:r w:rsidR="00D91F65" w:rsidRPr="00D91F65">
        <w:rPr>
          <w:noProof/>
          <w:szCs w:val="24"/>
          <w:lang w:val="sr-Latn-CS"/>
        </w:rPr>
        <w:t xml:space="preserve">, </w:t>
      </w:r>
      <w:r w:rsidR="00D91F65">
        <w:rPr>
          <w:noProof/>
          <w:szCs w:val="24"/>
          <w:lang w:val="sr-Latn-CS"/>
        </w:rPr>
        <w:t>osmatranju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tla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i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objekta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u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toku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građenja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i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upotrebe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i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minimalnim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garantnim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rokovima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za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pojedine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vrste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objekata</w:t>
      </w:r>
      <w:r w:rsidR="00D91F65" w:rsidRPr="00D91F65">
        <w:rPr>
          <w:noProof/>
          <w:szCs w:val="24"/>
          <w:lang w:val="sr-Latn-CS"/>
        </w:rPr>
        <w:t xml:space="preserve"> (</w:t>
      </w:r>
      <w:r w:rsidR="00D91F65">
        <w:rPr>
          <w:noProof/>
          <w:szCs w:val="24"/>
          <w:lang w:val="sr-Latn-CS"/>
        </w:rPr>
        <w:t>Sl</w:t>
      </w:r>
      <w:r w:rsidR="00D91F65" w:rsidRPr="00D91F65">
        <w:rPr>
          <w:noProof/>
          <w:szCs w:val="24"/>
          <w:lang w:val="sr-Latn-CS"/>
        </w:rPr>
        <w:t xml:space="preserve">. </w:t>
      </w:r>
      <w:r w:rsidR="00D91F65">
        <w:rPr>
          <w:noProof/>
          <w:szCs w:val="24"/>
          <w:lang w:val="sr-Latn-CS"/>
        </w:rPr>
        <w:t>glasnik</w:t>
      </w:r>
      <w:r w:rsidR="00D91F65" w:rsidRPr="00D91F65">
        <w:rPr>
          <w:noProof/>
          <w:szCs w:val="24"/>
          <w:lang w:val="sr-Latn-CS"/>
        </w:rPr>
        <w:t xml:space="preserve"> </w:t>
      </w:r>
      <w:r w:rsidR="00D91F65">
        <w:rPr>
          <w:noProof/>
          <w:szCs w:val="24"/>
          <w:lang w:val="sr-Latn-CS"/>
        </w:rPr>
        <w:t>RS</w:t>
      </w:r>
      <w:r w:rsidR="00D91F65" w:rsidRPr="00D91F65">
        <w:rPr>
          <w:noProof/>
          <w:szCs w:val="24"/>
          <w:lang w:val="sr-Latn-CS"/>
        </w:rPr>
        <w:t xml:space="preserve">, </w:t>
      </w:r>
      <w:r w:rsidR="00D91F65">
        <w:rPr>
          <w:noProof/>
          <w:szCs w:val="24"/>
          <w:lang w:val="sr-Latn-CS"/>
        </w:rPr>
        <w:t>br</w:t>
      </w:r>
      <w:r w:rsidR="00D91F65" w:rsidRPr="00D91F65">
        <w:rPr>
          <w:noProof/>
          <w:szCs w:val="24"/>
          <w:lang w:val="sr-Latn-CS"/>
        </w:rPr>
        <w:t>. 27/2015, 29/ 2016, 78/2019)</w:t>
      </w:r>
      <w:r w:rsidR="00BD182A">
        <w:rPr>
          <w:noProof/>
          <w:szCs w:val="24"/>
          <w:lang w:val="sr-Latn-CS"/>
        </w:rPr>
        <w:t xml:space="preserve"> u članu 5. definisana je potrebna dokumentacija bez koje se ne može vršiti tehnički pregled objekta. Ovim članom je propisano da se </w:t>
      </w:r>
      <w:r>
        <w:rPr>
          <w:noProof/>
          <w:szCs w:val="24"/>
          <w:lang w:val="sr-Latn-CS"/>
        </w:rPr>
        <w:t>ne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može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izvršiti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tehnički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pregled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za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upotrebnu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dozvolu</w:t>
      </w:r>
      <w:r w:rsidR="00BD182A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ukoliko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ne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postoji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saglasnost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nadležnog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organa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na</w:t>
      </w:r>
      <w:r w:rsidRPr="0082039F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studiju</w:t>
      </w:r>
      <w:r w:rsidRPr="0082039F">
        <w:rPr>
          <w:noProof/>
          <w:szCs w:val="24"/>
          <w:lang w:val="sr-Latn-CS"/>
        </w:rPr>
        <w:t xml:space="preserve"> </w:t>
      </w:r>
      <w:r w:rsidR="00BD182A">
        <w:rPr>
          <w:noProof/>
          <w:szCs w:val="24"/>
          <w:lang w:val="sr-Latn-CS"/>
        </w:rPr>
        <w:t>o proceni uticaja na životnu sredinu</w:t>
      </w:r>
      <w:r w:rsidR="005F3E2C">
        <w:rPr>
          <w:noProof/>
          <w:szCs w:val="24"/>
          <w:lang w:val="sr-Cyrl-RS"/>
        </w:rPr>
        <w:t>.</w:t>
      </w:r>
    </w:p>
    <w:p w14:paraId="46306F1D" w14:textId="2C065B73" w:rsidR="00513DBC" w:rsidRPr="00513DBC" w:rsidRDefault="00513DBC" w:rsidP="0082039F">
      <w:pPr>
        <w:jc w:val="both"/>
        <w:rPr>
          <w:noProof/>
          <w:szCs w:val="24"/>
          <w:lang w:val="sr-Latn-CS"/>
        </w:rPr>
      </w:pPr>
      <w:r>
        <w:rPr>
          <w:noProof/>
          <w:szCs w:val="24"/>
          <w:lang w:val="sr-Latn-CS"/>
        </w:rPr>
        <w:t>Ovim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pravilnikom</w:t>
      </w:r>
      <w:r w:rsidRPr="00513DBC">
        <w:rPr>
          <w:noProof/>
          <w:szCs w:val="24"/>
          <w:lang w:val="sr-Latn-CS"/>
        </w:rPr>
        <w:t xml:space="preserve"> (Sl. glasnik RS, br. 27/2015, 29/ 2016, 78/2019) </w:t>
      </w:r>
      <w:r>
        <w:rPr>
          <w:noProof/>
          <w:szCs w:val="24"/>
          <w:lang w:val="sr-Latn-CS"/>
        </w:rPr>
        <w:t>u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članu</w:t>
      </w:r>
      <w:r w:rsidRPr="00513DBC">
        <w:rPr>
          <w:noProof/>
          <w:szCs w:val="24"/>
          <w:lang w:val="sr-Latn-CS"/>
        </w:rPr>
        <w:t xml:space="preserve"> 17</w:t>
      </w:r>
      <w:r>
        <w:rPr>
          <w:noProof/>
          <w:szCs w:val="24"/>
          <w:lang w:val="sr-Cyrl-RS"/>
        </w:rPr>
        <w:t>.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propisano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da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u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vršenju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tehničkog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pregleda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za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upotrebnu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dozvolu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mora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da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učestvuje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lice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koje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je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stručno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iz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oblasti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koja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je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predmet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studije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proceni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uticaja</w:t>
      </w:r>
      <w:r w:rsidRPr="00513DBC">
        <w:rPr>
          <w:noProof/>
          <w:szCs w:val="24"/>
          <w:lang w:val="sr-Latn-CS"/>
        </w:rPr>
        <w:t xml:space="preserve">, </w:t>
      </w:r>
      <w:r>
        <w:rPr>
          <w:noProof/>
          <w:szCs w:val="24"/>
          <w:lang w:val="sr-Latn-CS"/>
        </w:rPr>
        <w:t>u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skladu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sa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zakonom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kojim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se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uređuje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procena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uticaja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na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životnu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sredinu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ovim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pravilnikom</w:t>
      </w:r>
      <w:r w:rsidRPr="00513DBC">
        <w:rPr>
          <w:noProof/>
          <w:szCs w:val="24"/>
          <w:lang w:val="sr-Latn-CS"/>
        </w:rPr>
        <w:t>.</w:t>
      </w:r>
    </w:p>
    <w:p w14:paraId="40AE9305" w14:textId="3C7DF824" w:rsidR="00513DBC" w:rsidRPr="00513DBC" w:rsidRDefault="00AA18E9" w:rsidP="00513DBC">
      <w:pPr>
        <w:jc w:val="both"/>
        <w:rPr>
          <w:noProof/>
          <w:szCs w:val="24"/>
          <w:lang w:val="sr-Latn-CS"/>
        </w:rPr>
      </w:pPr>
      <w:r>
        <w:rPr>
          <w:noProof/>
          <w:szCs w:val="24"/>
          <w:lang w:val="sr-Latn-CS"/>
        </w:rPr>
        <w:t>Iz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svega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je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očigledno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da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je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prvo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potrebno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sačiniti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studiju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Cyrl-RS"/>
        </w:rPr>
        <w:t xml:space="preserve">о </w:t>
      </w:r>
      <w:r>
        <w:rPr>
          <w:noProof/>
          <w:szCs w:val="24"/>
          <w:lang w:val="sr-Latn-RS"/>
        </w:rPr>
        <w:t xml:space="preserve">proceni </w:t>
      </w:r>
      <w:r>
        <w:rPr>
          <w:noProof/>
          <w:szCs w:val="24"/>
          <w:lang w:val="sr-Latn-CS"/>
        </w:rPr>
        <w:t>uticaja na životnu sredinu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predati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je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projektantu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koji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tehničke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uslove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iz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studije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treba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da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usaglasi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sa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tehničkom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dokumentacijom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za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građevinsku</w:t>
      </w:r>
      <w:r w:rsidRPr="00513DBC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dozvolu, dok odgovorni projektanti, kao i vršialac tehničke kontrole potvrđuju da su zahtevi iz pratećih elaborata i studija primenjeni u projektima</w:t>
      </w:r>
      <w:r w:rsidRPr="00513DBC">
        <w:rPr>
          <w:noProof/>
          <w:szCs w:val="24"/>
          <w:lang w:val="sr-Latn-CS"/>
        </w:rPr>
        <w:t>.</w:t>
      </w:r>
    </w:p>
    <w:sectPr w:rsidR="00513DBC" w:rsidRPr="00513DBC" w:rsidSect="00331490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Courier">
    <w:panose1 w:val="02027200000000000000"/>
    <w:charset w:val="00"/>
    <w:family w:val="roman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1618C"/>
    <w:multiLevelType w:val="hybridMultilevel"/>
    <w:tmpl w:val="27B48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B5A1E"/>
    <w:multiLevelType w:val="hybridMultilevel"/>
    <w:tmpl w:val="3BB895B8"/>
    <w:lvl w:ilvl="0" w:tplc="FE5817B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53C0D"/>
    <w:multiLevelType w:val="hybridMultilevel"/>
    <w:tmpl w:val="F7D2FC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C663CA"/>
    <w:multiLevelType w:val="multilevel"/>
    <w:tmpl w:val="CCFE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907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4" w15:restartNumberingAfterBreak="0">
    <w:nsid w:val="3E1733B1"/>
    <w:multiLevelType w:val="hybridMultilevel"/>
    <w:tmpl w:val="B6BCC5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814C89"/>
    <w:multiLevelType w:val="hybridMultilevel"/>
    <w:tmpl w:val="E558E83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5B7678EF"/>
    <w:multiLevelType w:val="hybridMultilevel"/>
    <w:tmpl w:val="867E2614"/>
    <w:lvl w:ilvl="0" w:tplc="1A7423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6B6638"/>
    <w:multiLevelType w:val="hybridMultilevel"/>
    <w:tmpl w:val="9488C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D5203F"/>
    <w:multiLevelType w:val="hybridMultilevel"/>
    <w:tmpl w:val="95008422"/>
    <w:lvl w:ilvl="0" w:tplc="8BA0FEC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2A5C61"/>
    <w:multiLevelType w:val="hybridMultilevel"/>
    <w:tmpl w:val="A3DE0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675D8A"/>
    <w:multiLevelType w:val="hybridMultilevel"/>
    <w:tmpl w:val="D14E4C92"/>
    <w:lvl w:ilvl="0" w:tplc="C624DB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148CD"/>
    <w:multiLevelType w:val="hybridMultilevel"/>
    <w:tmpl w:val="6B76F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8"/>
  </w:num>
  <w:num w:numId="6">
    <w:abstractNumId w:val="10"/>
  </w:num>
  <w:num w:numId="7">
    <w:abstractNumId w:val="0"/>
  </w:num>
  <w:num w:numId="8">
    <w:abstractNumId w:val="5"/>
  </w:num>
  <w:num w:numId="9">
    <w:abstractNumId w:val="3"/>
  </w:num>
  <w:num w:numId="10">
    <w:abstractNumId w:val="7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E38"/>
    <w:rsid w:val="00001D6C"/>
    <w:rsid w:val="00012044"/>
    <w:rsid w:val="000503AC"/>
    <w:rsid w:val="000B2AC2"/>
    <w:rsid w:val="000F0E75"/>
    <w:rsid w:val="00107C7A"/>
    <w:rsid w:val="001153D2"/>
    <w:rsid w:val="00121F9D"/>
    <w:rsid w:val="0013102F"/>
    <w:rsid w:val="00153FAA"/>
    <w:rsid w:val="00173FBA"/>
    <w:rsid w:val="001A1D80"/>
    <w:rsid w:val="001B5A5D"/>
    <w:rsid w:val="001F7181"/>
    <w:rsid w:val="00214027"/>
    <w:rsid w:val="0021755C"/>
    <w:rsid w:val="00247BDC"/>
    <w:rsid w:val="002903A1"/>
    <w:rsid w:val="00290FE6"/>
    <w:rsid w:val="00296658"/>
    <w:rsid w:val="002C7DF2"/>
    <w:rsid w:val="002F201A"/>
    <w:rsid w:val="002F261F"/>
    <w:rsid w:val="002F5CEA"/>
    <w:rsid w:val="00310F49"/>
    <w:rsid w:val="00324DE4"/>
    <w:rsid w:val="00331490"/>
    <w:rsid w:val="00352157"/>
    <w:rsid w:val="00380210"/>
    <w:rsid w:val="003804D7"/>
    <w:rsid w:val="00380D22"/>
    <w:rsid w:val="00387CF1"/>
    <w:rsid w:val="003B2C05"/>
    <w:rsid w:val="003D38EC"/>
    <w:rsid w:val="003F6FCF"/>
    <w:rsid w:val="00417BF0"/>
    <w:rsid w:val="00440505"/>
    <w:rsid w:val="004554AB"/>
    <w:rsid w:val="00486460"/>
    <w:rsid w:val="00487FB7"/>
    <w:rsid w:val="004B208A"/>
    <w:rsid w:val="004E7551"/>
    <w:rsid w:val="004F39CC"/>
    <w:rsid w:val="00510B7F"/>
    <w:rsid w:val="00513DBC"/>
    <w:rsid w:val="0052464D"/>
    <w:rsid w:val="00555589"/>
    <w:rsid w:val="005571BA"/>
    <w:rsid w:val="00580D5B"/>
    <w:rsid w:val="00584D9F"/>
    <w:rsid w:val="005B30B3"/>
    <w:rsid w:val="005D63CB"/>
    <w:rsid w:val="005E624A"/>
    <w:rsid w:val="005E68B2"/>
    <w:rsid w:val="005F3E2C"/>
    <w:rsid w:val="0062297D"/>
    <w:rsid w:val="006439BE"/>
    <w:rsid w:val="006B1247"/>
    <w:rsid w:val="006D4BD1"/>
    <w:rsid w:val="006E0231"/>
    <w:rsid w:val="006F4E38"/>
    <w:rsid w:val="00705F53"/>
    <w:rsid w:val="007E3175"/>
    <w:rsid w:val="007E77B8"/>
    <w:rsid w:val="007F117F"/>
    <w:rsid w:val="007F1B81"/>
    <w:rsid w:val="0082039F"/>
    <w:rsid w:val="008367E5"/>
    <w:rsid w:val="008378FD"/>
    <w:rsid w:val="00846F90"/>
    <w:rsid w:val="008C1237"/>
    <w:rsid w:val="008D572D"/>
    <w:rsid w:val="008E288C"/>
    <w:rsid w:val="008F73C7"/>
    <w:rsid w:val="00901040"/>
    <w:rsid w:val="009053A2"/>
    <w:rsid w:val="00912E53"/>
    <w:rsid w:val="00913387"/>
    <w:rsid w:val="0092124C"/>
    <w:rsid w:val="009B3105"/>
    <w:rsid w:val="009D086A"/>
    <w:rsid w:val="009D198B"/>
    <w:rsid w:val="009E0BD8"/>
    <w:rsid w:val="009E569A"/>
    <w:rsid w:val="00A25AB2"/>
    <w:rsid w:val="00A74DA7"/>
    <w:rsid w:val="00A8458B"/>
    <w:rsid w:val="00A9134D"/>
    <w:rsid w:val="00AA18E9"/>
    <w:rsid w:val="00AB4AA3"/>
    <w:rsid w:val="00AC5936"/>
    <w:rsid w:val="00AD67B8"/>
    <w:rsid w:val="00B30631"/>
    <w:rsid w:val="00B5077D"/>
    <w:rsid w:val="00B61AFF"/>
    <w:rsid w:val="00B64756"/>
    <w:rsid w:val="00BC0EEE"/>
    <w:rsid w:val="00BD182A"/>
    <w:rsid w:val="00BD2C04"/>
    <w:rsid w:val="00C24B4C"/>
    <w:rsid w:val="00C477A8"/>
    <w:rsid w:val="00C55C83"/>
    <w:rsid w:val="00C64286"/>
    <w:rsid w:val="00CD5A41"/>
    <w:rsid w:val="00CD701C"/>
    <w:rsid w:val="00CF487C"/>
    <w:rsid w:val="00CF7B08"/>
    <w:rsid w:val="00D01588"/>
    <w:rsid w:val="00D3076F"/>
    <w:rsid w:val="00D42BD4"/>
    <w:rsid w:val="00D91F65"/>
    <w:rsid w:val="00D96E10"/>
    <w:rsid w:val="00DA1E91"/>
    <w:rsid w:val="00DE6C7A"/>
    <w:rsid w:val="00DF193B"/>
    <w:rsid w:val="00E02444"/>
    <w:rsid w:val="00E02636"/>
    <w:rsid w:val="00E53F60"/>
    <w:rsid w:val="00E6257D"/>
    <w:rsid w:val="00E91549"/>
    <w:rsid w:val="00E97BB0"/>
    <w:rsid w:val="00ED151E"/>
    <w:rsid w:val="00EE2AF7"/>
    <w:rsid w:val="00EF5366"/>
    <w:rsid w:val="00EF5AF8"/>
    <w:rsid w:val="00F056A1"/>
    <w:rsid w:val="00F11EE2"/>
    <w:rsid w:val="00F14CD4"/>
    <w:rsid w:val="00F211C3"/>
    <w:rsid w:val="00F30285"/>
    <w:rsid w:val="00F6505E"/>
    <w:rsid w:val="00FE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11D74"/>
  <w15:chartTrackingRefBased/>
  <w15:docId w15:val="{32244FDC-77D3-4892-9E1F-5B4408B5E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PODNASLOV"/>
    <w:basedOn w:val="Normal"/>
    <w:next w:val="Normal"/>
    <w:link w:val="Heading2Char"/>
    <w:uiPriority w:val="1"/>
    <w:qFormat/>
    <w:rsid w:val="00CF487C"/>
    <w:pPr>
      <w:keepNext/>
      <w:widowControl w:val="0"/>
      <w:numPr>
        <w:ilvl w:val="1"/>
        <w:numId w:val="9"/>
      </w:numPr>
      <w:autoSpaceDE w:val="0"/>
      <w:autoSpaceDN w:val="0"/>
      <w:adjustRightInd w:val="0"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2AF7"/>
    <w:pPr>
      <w:ind w:left="720"/>
      <w:contextualSpacing/>
    </w:pPr>
  </w:style>
  <w:style w:type="character" w:customStyle="1" w:styleId="Heading2Char">
    <w:name w:val="Heading 2 Char"/>
    <w:aliases w:val="PODNASLOV Char"/>
    <w:basedOn w:val="DefaultParagraphFont"/>
    <w:link w:val="Heading2"/>
    <w:uiPriority w:val="1"/>
    <w:rsid w:val="00CF487C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LAT">
    <w:name w:val="LAT"/>
    <w:basedOn w:val="Normal"/>
    <w:rsid w:val="00487FB7"/>
    <w:pPr>
      <w:overflowPunct w:val="0"/>
      <w:autoSpaceDE w:val="0"/>
      <w:autoSpaceDN w:val="0"/>
      <w:adjustRightInd w:val="0"/>
      <w:jc w:val="both"/>
      <w:textAlignment w:val="baseline"/>
    </w:pPr>
    <w:rPr>
      <w:rFonts w:ascii="Yu Courier" w:eastAsia="Times New Roman" w:hAnsi="Yu Courier" w:cs="Times New Roman"/>
      <w:color w:val="000080"/>
      <w:sz w:val="20"/>
      <w:szCs w:val="20"/>
    </w:rPr>
  </w:style>
  <w:style w:type="paragraph" w:styleId="Revision">
    <w:name w:val="Revision"/>
    <w:hidden/>
    <w:uiPriority w:val="99"/>
    <w:semiHidden/>
    <w:rsid w:val="00153F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2020</Words>
  <Characters>11517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Marko</cp:lastModifiedBy>
  <cp:revision>10</cp:revision>
  <dcterms:created xsi:type="dcterms:W3CDTF">2022-03-09T20:30:00Z</dcterms:created>
  <dcterms:modified xsi:type="dcterms:W3CDTF">2022-03-15T07:38:00Z</dcterms:modified>
</cp:coreProperties>
</file>